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56794"/>
        <w:docPartObj>
          <w:docPartGallery w:val="Cover Pages"/>
          <w:docPartUnique/>
        </w:docPartObj>
      </w:sdtPr>
      <w:sdtContent>
        <w:p w14:paraId="0846686D" w14:textId="591136B8" w:rsidR="004F28F2" w:rsidRDefault="004F28F2">
          <w:r>
            <w:rPr>
              <w:noProof/>
              <w:lang w:eastAsia="en-GB"/>
            </w:rPr>
            <mc:AlternateContent>
              <mc:Choice Requires="wpg">
                <w:drawing>
                  <wp:anchor distT="0" distB="0" distL="114300" distR="114300" simplePos="0" relativeHeight="251659264" behindDoc="1" locked="0" layoutInCell="1" allowOverlap="1" wp14:anchorId="1020E502" wp14:editId="58FE352C">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8C31EAA" w14:textId="5EEDA696" w:rsidR="004F28F2" w:rsidRDefault="00024FA0">
                                      <w:pPr>
                                        <w:pStyle w:val="NoSpacing"/>
                                        <w:spacing w:before="120"/>
                                        <w:jc w:val="center"/>
                                        <w:rPr>
                                          <w:color w:val="FFFFFF" w:themeColor="background1"/>
                                        </w:rPr>
                                      </w:pPr>
                                      <w:r>
                                        <w:rPr>
                                          <w:color w:val="FFFFFF" w:themeColor="background1"/>
                                        </w:rPr>
                                        <w:t xml:space="preserve">Željko Zečević, Nikola Vujović, </w:t>
                                      </w:r>
                                      <w:r w:rsidR="001523B2">
                                        <w:rPr>
                                          <w:color w:val="FFFFFF" w:themeColor="background1"/>
                                        </w:rPr>
                                        <w:t>Bojan Gaji</w:t>
                                      </w:r>
                                      <w:r>
                                        <w:rPr>
                                          <w:color w:val="FFFFFF" w:themeColor="background1"/>
                                        </w:rPr>
                                        <w:t>ć</w:t>
                                      </w:r>
                                    </w:p>
                                  </w:sdtContent>
                                </w:sdt>
                                <w:p w14:paraId="707C6308" w14:textId="47FE500A" w:rsidR="004F28F2"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A2151">
                                        <w:rPr>
                                          <w:caps/>
                                          <w:color w:val="FFFFFF" w:themeColor="background1"/>
                                        </w:rPr>
                                        <w:t>LEMM Consulting</w:t>
                                      </w:r>
                                    </w:sdtContent>
                                  </w:sdt>
                                  <w:r w:rsidR="004F28F2">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D56BC8">
                                        <w:rPr>
                                          <w:color w:val="FFFFFF" w:themeColor="background1"/>
                                        </w:rPr>
                                        <w:t>Vrbas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25789E" w14:textId="5AE6D0FD" w:rsidR="004F28F2" w:rsidRDefault="008D07E2">
                                      <w:pPr>
                                        <w:pStyle w:val="NoSpacing"/>
                                        <w:jc w:val="center"/>
                                        <w:rPr>
                                          <w:rFonts w:asciiTheme="majorHAnsi" w:eastAsiaTheme="majorEastAsia" w:hAnsiTheme="majorHAnsi" w:cstheme="majorBidi"/>
                                          <w:caps/>
                                          <w:color w:val="156082" w:themeColor="accent1"/>
                                          <w:sz w:val="72"/>
                                          <w:szCs w:val="72"/>
                                        </w:rPr>
                                      </w:pPr>
                                      <w:r w:rsidRPr="008D07E2">
                                        <w:rPr>
                                          <w:rFonts w:asciiTheme="majorHAnsi" w:eastAsiaTheme="majorEastAsia" w:hAnsiTheme="majorHAnsi" w:cstheme="majorBidi"/>
                                          <w:caps/>
                                          <w:color w:val="156082" w:themeColor="accent1"/>
                                          <w:sz w:val="56"/>
                                          <w:szCs w:val="56"/>
                                        </w:rPr>
                                        <w:t xml:space="preserve">Analysis of technical, regulatory and strategic shortcomings for energy reconstruction of residential buildings connected to </w:t>
                                      </w:r>
                                      <w:r w:rsidR="00024FA0">
                                        <w:rPr>
                                          <w:rFonts w:asciiTheme="majorHAnsi" w:eastAsiaTheme="majorEastAsia" w:hAnsiTheme="majorHAnsi" w:cstheme="majorBidi"/>
                                          <w:caps/>
                                          <w:color w:val="156082" w:themeColor="accent1"/>
                                          <w:sz w:val="56"/>
                                          <w:szCs w:val="56"/>
                                        </w:rPr>
                                        <w:t>district</w:t>
                                      </w:r>
                                      <w:r w:rsidRPr="008D07E2">
                                        <w:rPr>
                                          <w:rFonts w:asciiTheme="majorHAnsi" w:eastAsiaTheme="majorEastAsia" w:hAnsiTheme="majorHAnsi" w:cstheme="majorBidi"/>
                                          <w:caps/>
                                          <w:color w:val="156082" w:themeColor="accent1"/>
                                          <w:sz w:val="56"/>
                                          <w:szCs w:val="56"/>
                                        </w:rPr>
                                        <w:t xml:space="preserve"> heating systems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020E502"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8C31EAA" w14:textId="5EEDA696" w:rsidR="004F28F2" w:rsidRDefault="00024FA0">
                                <w:pPr>
                                  <w:pStyle w:val="NoSpacing"/>
                                  <w:spacing w:before="120"/>
                                  <w:jc w:val="center"/>
                                  <w:rPr>
                                    <w:color w:val="FFFFFF" w:themeColor="background1"/>
                                  </w:rPr>
                                </w:pPr>
                                <w:r>
                                  <w:rPr>
                                    <w:color w:val="FFFFFF" w:themeColor="background1"/>
                                  </w:rPr>
                                  <w:t xml:space="preserve">Željko Zečević, Nikola Vujović, </w:t>
                                </w:r>
                                <w:r w:rsidR="001523B2">
                                  <w:rPr>
                                    <w:color w:val="FFFFFF" w:themeColor="background1"/>
                                  </w:rPr>
                                  <w:t>Bojan Gaji</w:t>
                                </w:r>
                                <w:r>
                                  <w:rPr>
                                    <w:color w:val="FFFFFF" w:themeColor="background1"/>
                                  </w:rPr>
                                  <w:t>ć</w:t>
                                </w:r>
                              </w:p>
                            </w:sdtContent>
                          </w:sdt>
                          <w:p w14:paraId="707C6308" w14:textId="47FE500A" w:rsidR="004F28F2"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A2151">
                                  <w:rPr>
                                    <w:caps/>
                                    <w:color w:val="FFFFFF" w:themeColor="background1"/>
                                  </w:rPr>
                                  <w:t>LEMM Consulting</w:t>
                                </w:r>
                              </w:sdtContent>
                            </w:sdt>
                            <w:r w:rsidR="004F28F2">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D56BC8">
                                  <w:rPr>
                                    <w:color w:val="FFFFFF" w:themeColor="background1"/>
                                  </w:rPr>
                                  <w:t>Vrbas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25789E" w14:textId="5AE6D0FD" w:rsidR="004F28F2" w:rsidRDefault="008D07E2">
                                <w:pPr>
                                  <w:pStyle w:val="NoSpacing"/>
                                  <w:jc w:val="center"/>
                                  <w:rPr>
                                    <w:rFonts w:asciiTheme="majorHAnsi" w:eastAsiaTheme="majorEastAsia" w:hAnsiTheme="majorHAnsi" w:cstheme="majorBidi"/>
                                    <w:caps/>
                                    <w:color w:val="156082" w:themeColor="accent1"/>
                                    <w:sz w:val="72"/>
                                    <w:szCs w:val="72"/>
                                  </w:rPr>
                                </w:pPr>
                                <w:r w:rsidRPr="008D07E2">
                                  <w:rPr>
                                    <w:rFonts w:asciiTheme="majorHAnsi" w:eastAsiaTheme="majorEastAsia" w:hAnsiTheme="majorHAnsi" w:cstheme="majorBidi"/>
                                    <w:caps/>
                                    <w:color w:val="156082" w:themeColor="accent1"/>
                                    <w:sz w:val="56"/>
                                    <w:szCs w:val="56"/>
                                  </w:rPr>
                                  <w:t xml:space="preserve">Analysis of technical, regulatory and strategic shortcomings for energy reconstruction of residential buildings connected to </w:t>
                                </w:r>
                                <w:r w:rsidR="00024FA0">
                                  <w:rPr>
                                    <w:rFonts w:asciiTheme="majorHAnsi" w:eastAsiaTheme="majorEastAsia" w:hAnsiTheme="majorHAnsi" w:cstheme="majorBidi"/>
                                    <w:caps/>
                                    <w:color w:val="156082" w:themeColor="accent1"/>
                                    <w:sz w:val="56"/>
                                    <w:szCs w:val="56"/>
                                  </w:rPr>
                                  <w:t>district</w:t>
                                </w:r>
                                <w:r w:rsidRPr="008D07E2">
                                  <w:rPr>
                                    <w:rFonts w:asciiTheme="majorHAnsi" w:eastAsiaTheme="majorEastAsia" w:hAnsiTheme="majorHAnsi" w:cstheme="majorBidi"/>
                                    <w:caps/>
                                    <w:color w:val="156082" w:themeColor="accent1"/>
                                    <w:sz w:val="56"/>
                                    <w:szCs w:val="56"/>
                                  </w:rPr>
                                  <w:t xml:space="preserve"> heating systems</w:t>
                                </w:r>
                              </w:p>
                            </w:sdtContent>
                          </w:sdt>
                        </w:txbxContent>
                      </v:textbox>
                    </v:shape>
                    <w10:wrap anchorx="page" anchory="page"/>
                  </v:group>
                </w:pict>
              </mc:Fallback>
            </mc:AlternateContent>
          </w:r>
        </w:p>
        <w:p w14:paraId="10C9396E" w14:textId="563D6C5D" w:rsidR="004F28F2" w:rsidRDefault="004F28F2">
          <w:r>
            <w:br w:type="page"/>
          </w:r>
        </w:p>
      </w:sdtContent>
    </w:sdt>
    <w:p w14:paraId="0A2EEA0D" w14:textId="5BED2A67" w:rsidR="00CB62F4" w:rsidRDefault="00CB62F4" w:rsidP="00CB62F4">
      <w:pPr>
        <w:pStyle w:val="Heading1"/>
      </w:pPr>
      <w:r>
        <w:lastRenderedPageBreak/>
        <w:t>Introduction</w:t>
      </w:r>
    </w:p>
    <w:p w14:paraId="0C1819C3" w14:textId="4C877A1D" w:rsidR="00606F16" w:rsidRDefault="00D56BC8">
      <w:r>
        <w:t xml:space="preserve">The </w:t>
      </w:r>
      <w:r w:rsidR="00ED3A64">
        <w:t>Report</w:t>
      </w:r>
      <w:r>
        <w:t xml:space="preserve"> present</w:t>
      </w:r>
      <w:r w:rsidR="00B36842">
        <w:t>s</w:t>
      </w:r>
      <w:r>
        <w:t xml:space="preserve"> the</w:t>
      </w:r>
      <w:r w:rsidR="00ED3A64">
        <w:t xml:space="preserve"> analysis of </w:t>
      </w:r>
      <w:r w:rsidR="00ED3A64" w:rsidRPr="00ED3A64">
        <w:t>technical, regulatory and strategic shortcomings for energy reconstruction of residential buildings connected to district heating systems</w:t>
      </w:r>
      <w:r w:rsidR="00ED3A64">
        <w:t xml:space="preserve"> which resulted from the</w:t>
      </w:r>
      <w:r>
        <w:t xml:space="preserve"> development of a multi-stakeholder collaboration and optimization model for energy and cost-efficient renovation of district heating system</w:t>
      </w:r>
      <w:r w:rsidR="00ED3A64">
        <w:t xml:space="preserve"> in the municipality of Priboj</w:t>
      </w:r>
      <w:r>
        <w:t>.</w:t>
      </w:r>
      <w:r w:rsidR="00606F16">
        <w:br w:type="page"/>
      </w:r>
    </w:p>
    <w:p w14:paraId="25CC6140" w14:textId="461E0574" w:rsidR="009623F8" w:rsidRDefault="00606F16" w:rsidP="00606F16">
      <w:pPr>
        <w:pStyle w:val="Heading1"/>
      </w:pPr>
      <w:r>
        <w:lastRenderedPageBreak/>
        <w:t>Background</w:t>
      </w:r>
    </w:p>
    <w:p w14:paraId="45E8EF4D" w14:textId="1E202636" w:rsidR="001209D0" w:rsidRDefault="001209D0" w:rsidP="001209D0">
      <w:r>
        <w:t>According to the Serbian national goals for 2030, improving the building envelope in the residential sector is planned to contribute to a reduction of final energy consumption by 35 ktoe/year. However, energy efficiency</w:t>
      </w:r>
      <w:r w:rsidR="00ED3A64">
        <w:t xml:space="preserve"> (EE)</w:t>
      </w:r>
      <w:r>
        <w:t xml:space="preserve"> also addresses other issues within the energy transition and is positioned prominently on the road map to decarbonization. </w:t>
      </w:r>
    </w:p>
    <w:p w14:paraId="0C86E321" w14:textId="03D9EE36" w:rsidR="001209D0" w:rsidRDefault="001209D0" w:rsidP="001209D0">
      <w:r>
        <w:t xml:space="preserve">Why </w:t>
      </w:r>
      <w:r w:rsidR="00ED3A64">
        <w:t>EE</w:t>
      </w:r>
      <w:r>
        <w:t>? The answers to this question are found in the following:</w:t>
      </w:r>
    </w:p>
    <w:p w14:paraId="32AFFC63" w14:textId="77777777" w:rsidR="001209D0" w:rsidRDefault="001209D0" w:rsidP="001209D0">
      <w:pPr>
        <w:pStyle w:val="ListParagraph"/>
        <w:numPr>
          <w:ilvl w:val="0"/>
          <w:numId w:val="11"/>
        </w:numPr>
      </w:pPr>
      <w:r>
        <w:t>Unsatisfactory heating quality as a result of the devastated housing stock and high heat losses,</w:t>
      </w:r>
    </w:p>
    <w:p w14:paraId="01C4D639" w14:textId="77777777" w:rsidR="001209D0" w:rsidRDefault="001209D0" w:rsidP="001209D0">
      <w:pPr>
        <w:pStyle w:val="ListParagraph"/>
        <w:numPr>
          <w:ilvl w:val="0"/>
          <w:numId w:val="11"/>
        </w:numPr>
      </w:pPr>
      <w:r>
        <w:t>High heating costs result from high heat energy consumption (cooling costs are trending upward for the same reason), rising prices of fossil fuels and energy derived from fossil fuels, as well as instability in the energy and fuel markets. There is also an inability to manage personal consumption, and in the district heating sector, there has been no introduction of consumption-based billing, although this has been partially implemented in certain cities where district heating is available,</w:t>
      </w:r>
    </w:p>
    <w:p w14:paraId="76E4C3BE" w14:textId="77777777" w:rsidR="001209D0" w:rsidRDefault="001209D0" w:rsidP="001209D0">
      <w:pPr>
        <w:pStyle w:val="ListParagraph"/>
        <w:numPr>
          <w:ilvl w:val="0"/>
          <w:numId w:val="11"/>
        </w:numPr>
      </w:pPr>
      <w:r>
        <w:t>Affordability of heating/cooling costs and energy poverty,</w:t>
      </w:r>
    </w:p>
    <w:p w14:paraId="4D72FD96" w14:textId="77777777" w:rsidR="001209D0" w:rsidRDefault="001209D0" w:rsidP="001209D0">
      <w:pPr>
        <w:pStyle w:val="ListParagraph"/>
        <w:numPr>
          <w:ilvl w:val="0"/>
          <w:numId w:val="11"/>
        </w:numPr>
      </w:pPr>
      <w:r>
        <w:t>Improvement of thermal comfort (heating/cooling) for a better quality of life and an increase in real estate prices,</w:t>
      </w:r>
    </w:p>
    <w:p w14:paraId="2F59D368" w14:textId="77777777" w:rsidR="001209D0" w:rsidRDefault="001209D0" w:rsidP="001209D0">
      <w:pPr>
        <w:pStyle w:val="ListParagraph"/>
        <w:numPr>
          <w:ilvl w:val="0"/>
          <w:numId w:val="11"/>
        </w:numPr>
      </w:pPr>
      <w:r>
        <w:t>Security of thermal energy supply,</w:t>
      </w:r>
    </w:p>
    <w:p w14:paraId="717FA494" w14:textId="77777777" w:rsidR="001209D0" w:rsidRDefault="001209D0" w:rsidP="001209D0">
      <w:pPr>
        <w:pStyle w:val="ListParagraph"/>
        <w:numPr>
          <w:ilvl w:val="0"/>
          <w:numId w:val="11"/>
        </w:numPr>
      </w:pPr>
      <w:r>
        <w:t>Mitigating the negative effects of climate change,</w:t>
      </w:r>
    </w:p>
    <w:p w14:paraId="459BF79B" w14:textId="5966C718" w:rsidR="001209D0" w:rsidRDefault="001209D0" w:rsidP="001209D0">
      <w:pPr>
        <w:pStyle w:val="ListParagraph"/>
        <w:numPr>
          <w:ilvl w:val="0"/>
          <w:numId w:val="11"/>
        </w:numPr>
      </w:pPr>
      <w:r>
        <w:t>Public interest proclaimed in legislation (</w:t>
      </w:r>
      <w:r w:rsidR="003A2151">
        <w:t>Law</w:t>
      </w:r>
      <w:r>
        <w:t xml:space="preserve"> on Housing and Building Maintenance, </w:t>
      </w:r>
      <w:r w:rsidR="003A2151">
        <w:t>Law</w:t>
      </w:r>
      <w:r>
        <w:t xml:space="preserve"> on </w:t>
      </w:r>
      <w:r w:rsidR="00ED3A64">
        <w:t>EE</w:t>
      </w:r>
      <w:r>
        <w:t xml:space="preserve"> and Rational Use of Energy, Act on Renewable Energy Sources),</w:t>
      </w:r>
    </w:p>
    <w:p w14:paraId="785C4C3F" w14:textId="1E07211D" w:rsidR="001209D0" w:rsidRDefault="001209D0" w:rsidP="001209D0">
      <w:pPr>
        <w:pStyle w:val="ListParagraph"/>
        <w:numPr>
          <w:ilvl w:val="0"/>
          <w:numId w:val="11"/>
        </w:numPr>
      </w:pPr>
      <w:r>
        <w:t xml:space="preserve">The proactivity of local communities is growing because citizens, satisfied with the success achieved in implementing </w:t>
      </w:r>
      <w:r w:rsidR="00ED3A64">
        <w:t>EE</w:t>
      </w:r>
      <w:r>
        <w:t xml:space="preserve"> measures, propose additional measures and the use of renewable energy.</w:t>
      </w:r>
    </w:p>
    <w:p w14:paraId="1BB0A6A7" w14:textId="373AD810" w:rsidR="00E00318" w:rsidRDefault="00E00318" w:rsidP="00E00318">
      <w:pPr>
        <w:pStyle w:val="Heading2"/>
      </w:pPr>
      <w:r>
        <w:t>Municipality of Priboj</w:t>
      </w:r>
    </w:p>
    <w:p w14:paraId="347190F9" w14:textId="69F6D91D" w:rsidR="00E00318" w:rsidRDefault="00E00318" w:rsidP="00E00318">
      <w:r>
        <w:t>Multi-story apartment buildings connected to the district heating system</w:t>
      </w:r>
      <w:r w:rsidR="00ED3A64">
        <w:t xml:space="preserve"> (DHS)</w:t>
      </w:r>
      <w:r>
        <w:t xml:space="preserve"> in the Municipality of Priboj are facing significant energy inefficiencies due to the lack of maintenance and standards that were in effect at the time of construction, resulting in high energy consumption, reduced quality of district heating service for users, elevated costs in the production of heat energy, and increased greenhouse gas emissions. The need for energy renovation is critical to improve living conditions, reduce energy costs, and contribute to green and fair energy transition in Priboj.</w:t>
      </w:r>
    </w:p>
    <w:p w14:paraId="03D36F83" w14:textId="77777777" w:rsidR="00E00318" w:rsidRDefault="00E00318" w:rsidP="00E00318">
      <w:r>
        <w:t>Renovating multi-apartment buildings in Serbia and therefore in the Municipality of Priboj presents a range of challenges, influenced by legal, financial, technical, and social factors.</w:t>
      </w:r>
    </w:p>
    <w:p w14:paraId="52B161F4" w14:textId="77777777" w:rsidR="00E00318" w:rsidRDefault="00E00318" w:rsidP="00E00318">
      <w:r>
        <w:lastRenderedPageBreak/>
        <w:t>Key Challenges for the Municipality and the apartment owners can be summarized as follows:</w:t>
      </w:r>
    </w:p>
    <w:p w14:paraId="68DE8D69" w14:textId="77777777" w:rsidR="00E00318" w:rsidRDefault="00E00318" w:rsidP="00E00318">
      <w:pPr>
        <w:pStyle w:val="ListParagraph"/>
        <w:numPr>
          <w:ilvl w:val="0"/>
          <w:numId w:val="12"/>
        </w:numPr>
      </w:pPr>
      <w:r>
        <w:t>Ownership Complexity - Most apartments are privately owned, while common areas (like staircases and facades) are jointly owned. Achieving consensus among all owners for renovations is often difficult.</w:t>
      </w:r>
    </w:p>
    <w:p w14:paraId="1EEC3528" w14:textId="77777777" w:rsidR="00E00318" w:rsidRDefault="00E00318" w:rsidP="00E00318">
      <w:pPr>
        <w:pStyle w:val="ListParagraph"/>
        <w:numPr>
          <w:ilvl w:val="0"/>
          <w:numId w:val="12"/>
        </w:numPr>
      </w:pPr>
      <w:r>
        <w:t>High Costs - Renovations, especially energy-efficient upgrades, require significant investments that many residents cannot afford.</w:t>
      </w:r>
    </w:p>
    <w:p w14:paraId="00AF3D72" w14:textId="77777777" w:rsidR="00E00318" w:rsidRDefault="00E00318" w:rsidP="00E00318">
      <w:pPr>
        <w:pStyle w:val="ListParagraph"/>
        <w:numPr>
          <w:ilvl w:val="0"/>
          <w:numId w:val="12"/>
        </w:numPr>
      </w:pPr>
      <w:r>
        <w:t>Limited Government Support - Although there are programs for energy efficiency, funding is often insufficient or difficult to access.</w:t>
      </w:r>
    </w:p>
    <w:p w14:paraId="0D60D399" w14:textId="77777777" w:rsidR="00E00318" w:rsidRDefault="00E00318" w:rsidP="00E00318">
      <w:pPr>
        <w:pStyle w:val="ListParagraph"/>
        <w:numPr>
          <w:ilvl w:val="0"/>
          <w:numId w:val="12"/>
        </w:numPr>
      </w:pPr>
      <w:r>
        <w:t>Lack of Financial Mechanisms - Financing options like low-interest loans for renovations are not widely available or tailored to multi-apartment buildings.</w:t>
      </w:r>
    </w:p>
    <w:p w14:paraId="76D05D95" w14:textId="77777777" w:rsidR="00E00318" w:rsidRDefault="00E00318" w:rsidP="00E00318">
      <w:pPr>
        <w:pStyle w:val="ListParagraph"/>
        <w:numPr>
          <w:ilvl w:val="0"/>
          <w:numId w:val="12"/>
        </w:numPr>
      </w:pPr>
      <w:r>
        <w:t>Owner Cooperation - Aligning the interests of multiple owners can be challenging, as some may resist changes due to costs or personal preferences.</w:t>
      </w:r>
    </w:p>
    <w:p w14:paraId="3BFCB6A3" w14:textId="77777777" w:rsidR="00E00318" w:rsidRDefault="00E00318" w:rsidP="00E00318">
      <w:pPr>
        <w:pStyle w:val="ListParagraph"/>
        <w:numPr>
          <w:ilvl w:val="0"/>
          <w:numId w:val="12"/>
        </w:numPr>
      </w:pPr>
      <w:r>
        <w:t>Low Awareness - Many residents lack awareness of the long-term benefits of renovations, especially energy efficiency improvements.</w:t>
      </w:r>
    </w:p>
    <w:p w14:paraId="06AC683A" w14:textId="77777777" w:rsidR="00E00318" w:rsidRDefault="00E00318" w:rsidP="00E00318">
      <w:pPr>
        <w:pStyle w:val="ListParagraph"/>
        <w:numPr>
          <w:ilvl w:val="0"/>
          <w:numId w:val="12"/>
        </w:numPr>
      </w:pPr>
      <w:r>
        <w:t>Weak Homeowners’ Associations - Not all buildings have effective associations to manage renovations and mediate disputes among owners.</w:t>
      </w:r>
    </w:p>
    <w:p w14:paraId="661080B0" w14:textId="1D880820" w:rsidR="00E00318" w:rsidRDefault="00E00318" w:rsidP="00E00318">
      <w:pPr>
        <w:pStyle w:val="ListParagraph"/>
        <w:numPr>
          <w:ilvl w:val="0"/>
          <w:numId w:val="12"/>
        </w:numPr>
      </w:pPr>
      <w:r>
        <w:t>Technical Expertise and Capacity - The lack of energy audits and technical documentation for energy renovation poses a problem in attracting funds.</w:t>
      </w:r>
    </w:p>
    <w:p w14:paraId="22B4509B" w14:textId="2A60FE82" w:rsidR="001209D0" w:rsidRDefault="001209D0" w:rsidP="001209D0">
      <w:pPr>
        <w:pStyle w:val="Heading2"/>
      </w:pPr>
      <w:r>
        <w:t>About REHEATEAST project</w:t>
      </w:r>
    </w:p>
    <w:p w14:paraId="6F519C20" w14:textId="0FCF6723" w:rsidR="009623F8" w:rsidRDefault="009623F8" w:rsidP="009623F8">
      <w:r w:rsidRPr="009623F8">
        <w:t>The REHEATEAST project seeks to reduce fossil energy demand in district heating and cooling (DHC) systems by minimizing energy waste in buildings and networks while integrating renewable energy – particularly geothermal – and waste heat (WH). It encourages multi-stakeholder, cross-sectoral, public-private cooperation and develops, tests, promotes and disseminates practical, technical, and nature-based solutions that support large-scale rehabilitation programs and climate adaptation measures.</w:t>
      </w:r>
    </w:p>
    <w:p w14:paraId="41B1E92F" w14:textId="2D534A2E" w:rsidR="009623F8" w:rsidRDefault="009623F8" w:rsidP="009623F8">
      <w:r>
        <w:t xml:space="preserve">DHC systems are essential for improving energy efficiency and decarbonisation, yet many regions face ongoing barriers and challenges to their modernisation. Addressing these issues requires a proactive and structured approach, which this Methodology seeks to provide. </w:t>
      </w:r>
    </w:p>
    <w:p w14:paraId="614B7A2D" w14:textId="7DF19D5F" w:rsidR="009623F8" w:rsidRDefault="009623F8" w:rsidP="009623F8">
      <w:r>
        <w:t xml:space="preserve">In the context of REHEATEAST, the models that will come </w:t>
      </w:r>
      <w:r w:rsidR="006F7D53">
        <w:t>through</w:t>
      </w:r>
      <w:r>
        <w:t xml:space="preserve"> the </w:t>
      </w:r>
      <w:r w:rsidR="006F7D53">
        <w:t>implementation</w:t>
      </w:r>
      <w:r w:rsidR="006F7D53">
        <w:t xml:space="preserve"> of the adopted </w:t>
      </w:r>
      <w:r>
        <w:t xml:space="preserve">Methodology </w:t>
      </w:r>
      <w:r w:rsidR="006F7D53">
        <w:t>and</w:t>
      </w:r>
      <w:r>
        <w:t xml:space="preserve"> effective pilot projects. Given the challenges that DHC systems face, there is a pressing demand for accessible examples that are easy to replicate, scalable, and efficient. </w:t>
      </w:r>
    </w:p>
    <w:p w14:paraId="7180FD08" w14:textId="77777777" w:rsidR="00194F99" w:rsidRDefault="00194F99">
      <w:r>
        <w:br w:type="page"/>
      </w:r>
    </w:p>
    <w:p w14:paraId="77D5F25E" w14:textId="55C8079D" w:rsidR="00CE7DA7" w:rsidRPr="00CB0DE5" w:rsidRDefault="00ED3A64" w:rsidP="00CB0DE5">
      <w:pPr>
        <w:pStyle w:val="Heading2"/>
        <w:rPr>
          <w:sz w:val="40"/>
          <w:szCs w:val="40"/>
        </w:rPr>
      </w:pPr>
      <w:r w:rsidRPr="00ED3A64">
        <w:rPr>
          <w:sz w:val="40"/>
          <w:szCs w:val="40"/>
        </w:rPr>
        <w:lastRenderedPageBreak/>
        <w:t xml:space="preserve">Review of technical and commercial barriers to EE and </w:t>
      </w:r>
      <w:r w:rsidR="00CE7DA7" w:rsidRPr="00CE7DA7">
        <w:rPr>
          <w:sz w:val="40"/>
          <w:szCs w:val="40"/>
        </w:rPr>
        <w:t>consumption-based billing</w:t>
      </w:r>
    </w:p>
    <w:p w14:paraId="18CA1DED" w14:textId="56F82C92" w:rsidR="00FB34C8" w:rsidRDefault="00FB34C8" w:rsidP="00FB34C8">
      <w:pPr>
        <w:pStyle w:val="Heading2"/>
      </w:pPr>
      <w:r>
        <w:t>District heating s</w:t>
      </w:r>
      <w:r w:rsidR="00F5632A">
        <w:t>ector</w:t>
      </w:r>
    </w:p>
    <w:p w14:paraId="2F68A177" w14:textId="683C3DBF" w:rsidR="00F5632A" w:rsidRDefault="00C204E0" w:rsidP="00074BF3">
      <w:r w:rsidRPr="00C204E0">
        <w:t>Serbia’s DHS have an installed thermal generation capacity of approximately 6</w:t>
      </w:r>
      <w:r>
        <w:t>.</w:t>
      </w:r>
      <w:r w:rsidRPr="00C204E0">
        <w:t>000 MW, generating more than 6</w:t>
      </w:r>
      <w:r>
        <w:t>.</w:t>
      </w:r>
      <w:r w:rsidRPr="00C204E0">
        <w:t>600 GWh of heat annually. They remain highly dependent on imported fossil fuels, which account for 99.2% of total consumption. The total connected heating surface is around 45</w:t>
      </w:r>
      <w:r>
        <w:t>,</w:t>
      </w:r>
      <w:r w:rsidRPr="00C204E0">
        <w:t>3 million m², of which residential buildings account for 35</w:t>
      </w:r>
      <w:r>
        <w:t>,</w:t>
      </w:r>
      <w:r w:rsidRPr="00C204E0">
        <w:t>5 million m² (78</w:t>
      </w:r>
      <w:r>
        <w:t>,</w:t>
      </w:r>
      <w:r w:rsidRPr="00C204E0">
        <w:t>2%).</w:t>
      </w:r>
    </w:p>
    <w:p w14:paraId="12418569" w14:textId="5182B46F" w:rsidR="004E59E7" w:rsidRDefault="004E59E7" w:rsidP="00074BF3">
      <w:r w:rsidRPr="004E59E7">
        <w:t xml:space="preserve">Despite legislation mandating </w:t>
      </w:r>
      <w:r w:rsidR="0093574C">
        <w:t>consumption-based</w:t>
      </w:r>
      <w:r>
        <w:t xml:space="preserve"> billing (</w:t>
      </w:r>
      <w:r w:rsidRPr="004E59E7">
        <w:t>CBB</w:t>
      </w:r>
      <w:r>
        <w:t>)</w:t>
      </w:r>
      <w:r w:rsidRPr="004E59E7">
        <w:t>, most residential consumers continue to be billed based on heated floor area. Only 13 out of 58 DHS have fully implemented CBB for residential customers, while the remaining 45 still apply a lump-sum billing approach. Experience from previous projects in Western Europe and Serbia indicates that transitioning to CBB can reduce heat use by 10-20%. Key barriers to CBB adoption include affordability concerns, split ownership of substations and internal installations requiring collective agreements, and an aging and inefficient building stock, with approximately half of all residential buildings over 50 years old and exhibiting high energy consumption (140-250 kWh/m²).</w:t>
      </w:r>
    </w:p>
    <w:p w14:paraId="0C50663E" w14:textId="3622246C" w:rsidR="00A46C22" w:rsidRDefault="00A46C22" w:rsidP="00074BF3">
      <w:r w:rsidRPr="00A46C22">
        <w:t xml:space="preserve">The </w:t>
      </w:r>
      <w:r>
        <w:t>DHS</w:t>
      </w:r>
      <w:r w:rsidRPr="00A46C22">
        <w:t xml:space="preserve"> of the </w:t>
      </w:r>
      <w:r>
        <w:t>public utility</w:t>
      </w:r>
      <w:r w:rsidRPr="00A46C22">
        <w:t xml:space="preserve"> </w:t>
      </w:r>
      <w:r>
        <w:t>“</w:t>
      </w:r>
      <w:r w:rsidRPr="00A46C22">
        <w:t>T</w:t>
      </w:r>
      <w:r w:rsidRPr="00A46C22">
        <w:t>oplana</w:t>
      </w:r>
      <w:r w:rsidRPr="00A46C22">
        <w:t xml:space="preserve"> P</w:t>
      </w:r>
      <w:r w:rsidRPr="00A46C22">
        <w:t>riboj</w:t>
      </w:r>
      <w:r>
        <w:t>”</w:t>
      </w:r>
      <w:r w:rsidRPr="00A46C22">
        <w:t xml:space="preserve"> supplies heat energy to 1</w:t>
      </w:r>
      <w:r>
        <w:t>.</w:t>
      </w:r>
      <w:r w:rsidRPr="00A46C22">
        <w:t xml:space="preserve">608 apartments with a heating area of </w:t>
      </w:r>
      <w:r w:rsidRPr="00A46C22">
        <w:rPr>
          <w:rFonts w:ascii="Arial" w:hAnsi="Arial" w:cs="Arial"/>
        </w:rPr>
        <w:t>​​</w:t>
      </w:r>
      <w:r w:rsidRPr="00A46C22">
        <w:t>82</w:t>
      </w:r>
      <w:r>
        <w:t>.</w:t>
      </w:r>
      <w:r w:rsidRPr="00A46C22">
        <w:t>862 m</w:t>
      </w:r>
      <w:r w:rsidRPr="00A46C22">
        <w:rPr>
          <w:vertAlign w:val="superscript"/>
        </w:rPr>
        <w:t>2</w:t>
      </w:r>
      <w:r w:rsidRPr="00A46C22">
        <w:t>, privileged categories of 1</w:t>
      </w:r>
      <w:r>
        <w:t>.</w:t>
      </w:r>
      <w:r w:rsidRPr="00A46C22">
        <w:t>769 m</w:t>
      </w:r>
      <w:r w:rsidRPr="00A46C22">
        <w:rPr>
          <w:vertAlign w:val="superscript"/>
        </w:rPr>
        <w:t>2</w:t>
      </w:r>
      <w:r w:rsidRPr="00A46C22">
        <w:t xml:space="preserve"> (2 users) and business of 29</w:t>
      </w:r>
      <w:r>
        <w:t>.</w:t>
      </w:r>
      <w:r w:rsidRPr="00A46C22">
        <w:t>286 m</w:t>
      </w:r>
      <w:r w:rsidRPr="00A46C22">
        <w:rPr>
          <w:vertAlign w:val="superscript"/>
        </w:rPr>
        <w:t>2</w:t>
      </w:r>
      <w:r w:rsidRPr="00A46C22">
        <w:t xml:space="preserve"> (99 users), i.e. a total of 112</w:t>
      </w:r>
      <w:r>
        <w:t>.</w:t>
      </w:r>
      <w:r w:rsidRPr="00A46C22">
        <w:t>916 m</w:t>
      </w:r>
      <w:r w:rsidRPr="00A46C22">
        <w:rPr>
          <w:vertAlign w:val="superscript"/>
        </w:rPr>
        <w:t>2</w:t>
      </w:r>
      <w:r w:rsidRPr="00A46C22">
        <w:t xml:space="preserve"> (1</w:t>
      </w:r>
      <w:r>
        <w:t>.</w:t>
      </w:r>
      <w:r w:rsidRPr="00A46C22">
        <w:t>687 users) is heated. Toplana Priboj supplies its users with its services from three different locations</w:t>
      </w:r>
      <w:r w:rsidR="009E6522">
        <w:t xml:space="preserve"> </w:t>
      </w:r>
      <w:r w:rsidR="009E6522" w:rsidRPr="009E6522">
        <w:t>with a total installed power on district heating of 25</w:t>
      </w:r>
      <w:r w:rsidR="009E6522">
        <w:t>,</w:t>
      </w:r>
      <w:r w:rsidR="009E6522" w:rsidRPr="009E6522">
        <w:t>7 kW</w:t>
      </w:r>
      <w:r w:rsidRPr="00A46C22">
        <w:t>. The heating fuels are wood chips, pellets and light fuel oil.</w:t>
      </w:r>
    </w:p>
    <w:p w14:paraId="52789FEF" w14:textId="5F6DC993" w:rsidR="00F5632A" w:rsidRDefault="0093574C" w:rsidP="00074BF3">
      <w:r w:rsidRPr="0093574C">
        <w:t>During the i</w:t>
      </w:r>
      <w:r w:rsidR="00CC0D26">
        <w:t>nceptio</w:t>
      </w:r>
      <w:r w:rsidRPr="0093574C">
        <w:t>n phase</w:t>
      </w:r>
      <w:r w:rsidR="00CC0D26">
        <w:t xml:space="preserve"> and confirmed through other pases</w:t>
      </w:r>
      <w:r w:rsidRPr="0093574C">
        <w:t xml:space="preserve">, several potential technical and commercial barriers to the </w:t>
      </w:r>
      <w:r w:rsidR="00CC0D26">
        <w:t>implementation of EE in residential buildings and DHS with CBB</w:t>
      </w:r>
      <w:r w:rsidRPr="0093574C">
        <w:t xml:space="preserve"> were</w:t>
      </w:r>
      <w:r w:rsidR="00CC0D26">
        <w:t xml:space="preserve"> identified:</w:t>
      </w:r>
    </w:p>
    <w:p w14:paraId="7ED3F03B" w14:textId="314F07F3" w:rsidR="00E83190" w:rsidRDefault="00E83190" w:rsidP="009E6522">
      <w:pPr>
        <w:pStyle w:val="ListParagraph"/>
        <w:numPr>
          <w:ilvl w:val="0"/>
          <w:numId w:val="30"/>
        </w:numPr>
      </w:pPr>
      <w:r w:rsidRPr="00E83190">
        <w:t xml:space="preserve">The flat rate model for heating cost billing does not stimulate </w:t>
      </w:r>
      <w:r>
        <w:t>EE</w:t>
      </w:r>
      <w:r w:rsidRPr="00E83190">
        <w:t xml:space="preserve"> and is contrary to the current legislation. In Serbia, CBB for district heating has been mandatory since 2015, yet only a fraction of municipalities with </w:t>
      </w:r>
      <w:r>
        <w:t>DHS</w:t>
      </w:r>
      <w:r w:rsidRPr="00E83190">
        <w:t xml:space="preserve"> have implemented it. </w:t>
      </w:r>
      <w:r>
        <w:t>Majority of b</w:t>
      </w:r>
      <w:r w:rsidRPr="00E83190">
        <w:t xml:space="preserve">uildings have internal heating installations with vertical shared risers to radiators in individual units, requiring allocators on each radiator. The technical minimum for fair cost distribution is allocator installation on radiators covering at least </w:t>
      </w:r>
      <w:r>
        <w:t>7</w:t>
      </w:r>
      <w:r w:rsidRPr="00E83190">
        <w:t xml:space="preserve">0% of the area owned by HOA members; higher coverage ensures fairer distribution, with the ideal being 100%. If members refuse allocator installation and the technical minimum is not reached, installation is </w:t>
      </w:r>
      <w:r w:rsidRPr="00E83190">
        <w:lastRenderedPageBreak/>
        <w:t xml:space="preserve">not recommended. In such cases, heating costs may still be allocated proportionally to floor area, but motivation for CBB and EE </w:t>
      </w:r>
      <w:r>
        <w:t>might be</w:t>
      </w:r>
      <w:r w:rsidRPr="00E83190">
        <w:t xml:space="preserve"> reduced.</w:t>
      </w:r>
    </w:p>
    <w:p w14:paraId="469C0E29" w14:textId="3E27256F" w:rsidR="004A031C" w:rsidRDefault="004A031C" w:rsidP="009E6522">
      <w:pPr>
        <w:pStyle w:val="ListParagraph"/>
        <w:numPr>
          <w:ilvl w:val="0"/>
          <w:numId w:val="30"/>
        </w:numPr>
      </w:pPr>
      <w:r w:rsidRPr="004A031C">
        <w:t>EE measures must be implemented in accordance with the Law on Planning and Construction, including procedures for obtaining permits to execute works. The primary requirement for a permit is proof of rights over the building. As evidence of the right to perform works related to investment maintenance, including energy renovation, the investor (residential community/</w:t>
      </w:r>
      <w:r>
        <w:t>homeowner association</w:t>
      </w:r>
      <w:r w:rsidR="00E83190">
        <w:t xml:space="preserve"> (HOA)</w:t>
      </w:r>
      <w:r w:rsidRPr="004A031C">
        <w:t>) may submit a legally binding occupancy permit or a legally binding legalization decision, regardless of real-estate cadastre registration.</w:t>
      </w:r>
    </w:p>
    <w:p w14:paraId="02810474" w14:textId="1E97BC7F" w:rsidR="00E83190" w:rsidRDefault="00E83190" w:rsidP="009E6522">
      <w:pPr>
        <w:pStyle w:val="ListParagraph"/>
        <w:numPr>
          <w:ilvl w:val="0"/>
          <w:numId w:val="30"/>
        </w:numPr>
      </w:pPr>
      <w:r w:rsidRPr="00E83190">
        <w:t xml:space="preserve">In the permitting process for EE measures, the residential community proves its right by adopting a decision with a qualified two thirds majority of members for investment maintenance. Each HOA decides independently; decisions of other HOAs should not affect it. The challenge is allocating heating costs after introducing CBB, particularly if the minimum technical requirement for the connected area of individual sections, set by the local </w:t>
      </w:r>
      <w:r>
        <w:t>DHC</w:t>
      </w:r>
      <w:r w:rsidRPr="00E83190">
        <w:t>, is not met.</w:t>
      </w:r>
    </w:p>
    <w:p w14:paraId="39F21A51" w14:textId="1E5CF85D" w:rsidR="00417464" w:rsidRDefault="00417464" w:rsidP="009E6522">
      <w:pPr>
        <w:pStyle w:val="ListParagraph"/>
        <w:numPr>
          <w:ilvl w:val="0"/>
          <w:numId w:val="30"/>
        </w:numPr>
      </w:pPr>
      <w:r w:rsidRPr="00417464">
        <w:t xml:space="preserve">Some </w:t>
      </w:r>
      <w:r>
        <w:t xml:space="preserve">of the apartments </w:t>
      </w:r>
      <w:r w:rsidRPr="00417464">
        <w:t xml:space="preserve">do not use district heating due to subsequent installation of shared internal heating systems or upon request to disconnect. </w:t>
      </w:r>
      <w:r>
        <w:t>H</w:t>
      </w:r>
      <w:r w:rsidRPr="00417464">
        <w:t xml:space="preserve">omeowners who do not currently use district heating </w:t>
      </w:r>
      <w:r>
        <w:t xml:space="preserve">should </w:t>
      </w:r>
      <w:r w:rsidRPr="00417464">
        <w:t>still participate if a qualified majority approves the Project</w:t>
      </w:r>
      <w:r>
        <w:t xml:space="preserve"> since they own the apartment in the building obliged to follow the decisions of HOA</w:t>
      </w:r>
      <w:r w:rsidRPr="00417464">
        <w:t>; the decision is binding on all members. Introducing CBB may motivate disconnected units to reconnect. In buildings with long standing shared heating systems and occupancy permits, new legal provisions could allow previously disconnected units to become district heating consumers, enabling owners to manage heat according to their needs.</w:t>
      </w:r>
    </w:p>
    <w:p w14:paraId="0D1F74C2" w14:textId="2E9DEFA2" w:rsidR="00335BAE" w:rsidRDefault="00335BAE" w:rsidP="009E6522">
      <w:pPr>
        <w:pStyle w:val="ListParagraph"/>
        <w:numPr>
          <w:ilvl w:val="0"/>
          <w:numId w:val="30"/>
        </w:numPr>
      </w:pPr>
      <w:r w:rsidRPr="00335BAE">
        <w:t xml:space="preserve">Two </w:t>
      </w:r>
      <w:r>
        <w:t xml:space="preserve">specific </w:t>
      </w:r>
      <w:r w:rsidRPr="00335BAE">
        <w:t>situations pose barriers: (i) multiple HOAs within one building; (ii) several buildings supplied from a shared substation. Separate metering is required to ensure the technical minimum for allocators</w:t>
      </w:r>
      <w:r>
        <w:t xml:space="preserve">. </w:t>
      </w:r>
      <w:r w:rsidRPr="00335BAE">
        <w:t>Separating metering for HOAs within the same building on a shared supply is more complex and typically requires reconstruction of the internal heating installation. Common distribution pipes belong to the HOA or HOAs, which must finance reconstruction independently.</w:t>
      </w:r>
    </w:p>
    <w:p w14:paraId="1ACD3000" w14:textId="7260F838" w:rsidR="00CC0D26" w:rsidRDefault="004A031C" w:rsidP="009E6522">
      <w:pPr>
        <w:pStyle w:val="ListParagraph"/>
        <w:numPr>
          <w:ilvl w:val="0"/>
          <w:numId w:val="30"/>
        </w:numPr>
      </w:pPr>
      <w:r w:rsidRPr="004A031C">
        <w:t xml:space="preserve">Opinions of the competent protection institutions </w:t>
      </w:r>
      <w:r>
        <w:t xml:space="preserve">(e.g. cultural assents, monuments) </w:t>
      </w:r>
      <w:r w:rsidRPr="004A031C">
        <w:t>must be obtained and considered when selecting buildings for energy renovation. Consent from these institutions is especially necessary for project documentation during the permitting phase. Criteria for establishing protection should also consider the copyright of original architectural designers to avoid restricting residential communities when applying for permits. Planned EE measures must be harmonized with the requirements of institutions responsible for protecting buildings declared as cultural assets.</w:t>
      </w:r>
    </w:p>
    <w:p w14:paraId="51839782" w14:textId="4EFE5809" w:rsidR="008A738B" w:rsidRDefault="008A738B" w:rsidP="009E6522">
      <w:pPr>
        <w:pStyle w:val="ListParagraph"/>
        <w:numPr>
          <w:ilvl w:val="0"/>
          <w:numId w:val="30"/>
        </w:numPr>
      </w:pPr>
      <w:r w:rsidRPr="008A738B">
        <w:lastRenderedPageBreak/>
        <w:t xml:space="preserve">Local self-governments regulate thermal energy and heating service prices. Keeping prices unrealistically low can cause losses for </w:t>
      </w:r>
      <w:r>
        <w:t>DHCs</w:t>
      </w:r>
      <w:r w:rsidRPr="008A738B">
        <w:t xml:space="preserve"> or indiscriminate subsidies. Low prices discourage implementation of </w:t>
      </w:r>
      <w:r>
        <w:t>EE</w:t>
      </w:r>
      <w:r w:rsidRPr="008A738B">
        <w:t xml:space="preserve"> and consumption reduction. Local governments should support the Project by strictly applying the Government of Serbia Methodology for determining district heating prices.</w:t>
      </w:r>
    </w:p>
    <w:p w14:paraId="7BBFE430" w14:textId="65A7CD45" w:rsidR="004A2C36" w:rsidRDefault="00CB0DE5" w:rsidP="004A2C36">
      <w:pPr>
        <w:pStyle w:val="Heading1"/>
      </w:pPr>
      <w:r>
        <w:t>Legal analysis</w:t>
      </w:r>
    </w:p>
    <w:p w14:paraId="6E52FC54" w14:textId="2A663FE5" w:rsidR="004A2C36" w:rsidRDefault="004A2C36" w:rsidP="004A2C36">
      <w:r>
        <w:t>In accordance with the Law on Energy (2021), the Government adopted the methodology of forming the prices of the heat supply to final customers in 2015. The application of this regulation is binding for all DH systems and their competent local self-government units, who are also their founders.</w:t>
      </w:r>
    </w:p>
    <w:p w14:paraId="00A7068D" w14:textId="77777777" w:rsidR="004A2C36" w:rsidRDefault="004A2C36" w:rsidP="004A2C36">
      <w:r>
        <w:t>This Methodology 2015 particularly regulates:</w:t>
      </w:r>
    </w:p>
    <w:p w14:paraId="2D41191A" w14:textId="77777777" w:rsidR="004A2C36" w:rsidRDefault="004A2C36" w:rsidP="004A2C36">
      <w:pPr>
        <w:pStyle w:val="ListParagraph"/>
        <w:numPr>
          <w:ilvl w:val="0"/>
          <w:numId w:val="28"/>
        </w:numPr>
      </w:pPr>
      <w:r>
        <w:t>Elements for calculation and the way of determining the maximum amount of revenue for the activities of production, distribution and supply of heat;</w:t>
      </w:r>
    </w:p>
    <w:p w14:paraId="13289023" w14:textId="77777777" w:rsidR="004A2C36" w:rsidRDefault="004A2C36" w:rsidP="004A2C36">
      <w:pPr>
        <w:pStyle w:val="ListParagraph"/>
        <w:numPr>
          <w:ilvl w:val="0"/>
          <w:numId w:val="28"/>
        </w:numPr>
      </w:pPr>
      <w:r>
        <w:t xml:space="preserve">Elements of calculation and method for calculating the price of the access to the heat distribution system; </w:t>
      </w:r>
    </w:p>
    <w:p w14:paraId="35A0FD0A" w14:textId="77777777" w:rsidR="004A2C36" w:rsidRDefault="004A2C36" w:rsidP="004A2C36">
      <w:pPr>
        <w:pStyle w:val="ListParagraph"/>
        <w:numPr>
          <w:ilvl w:val="0"/>
          <w:numId w:val="28"/>
        </w:numPr>
      </w:pPr>
      <w:r>
        <w:t>Categories of heat consumers depending on the use of the space (residential and business consumers);</w:t>
      </w:r>
    </w:p>
    <w:p w14:paraId="42057CF8" w14:textId="77777777" w:rsidR="004A2C36" w:rsidRDefault="004A2C36" w:rsidP="004A2C36">
      <w:pPr>
        <w:pStyle w:val="ListParagraph"/>
        <w:numPr>
          <w:ilvl w:val="0"/>
          <w:numId w:val="28"/>
        </w:numPr>
      </w:pPr>
      <w:r>
        <w:t>Procedure for submitting a request for a change in heat prices and</w:t>
      </w:r>
    </w:p>
    <w:p w14:paraId="564EBA0C" w14:textId="75AE7D2F" w:rsidR="004A2C36" w:rsidRDefault="004A2C36" w:rsidP="004A2C36">
      <w:pPr>
        <w:pStyle w:val="ListParagraph"/>
        <w:numPr>
          <w:ilvl w:val="0"/>
          <w:numId w:val="28"/>
        </w:numPr>
      </w:pPr>
      <w:r>
        <w:t>Other issues in accordance with the law.</w:t>
      </w:r>
    </w:p>
    <w:p w14:paraId="2544411E" w14:textId="6205E740" w:rsidR="004A2C36" w:rsidRDefault="004A2C36" w:rsidP="004A2C36">
      <w:r>
        <w:t>However, the Methodology from 2015 allows that where there are no technical possibilities of billing according to consumption, the calculation is made per unit of heating surface. In that case, the maximum value of the specific annual consumption cannot be higher than 140 KWh/m</w:t>
      </w:r>
      <w:r w:rsidRPr="004A2C36">
        <w:rPr>
          <w:vertAlign w:val="superscript"/>
        </w:rPr>
        <w:t>2</w:t>
      </w:r>
      <w:r>
        <w:t xml:space="preserve"> according to the Methodology.</w:t>
      </w:r>
    </w:p>
    <w:p w14:paraId="7C46D23E" w14:textId="632FCA67" w:rsidR="004A2C36" w:rsidRDefault="004A2C36" w:rsidP="004A2C36">
      <w:r>
        <w:t>In the Regulation on the adoption of Methodology, it is clearly stated that energy entities that perform the activity of supplying heat energy will determine the prices of supplying the final customer with heat energy based on the Methodology no later than October 1, 2015, but not all energy entities applied it</w:t>
      </w:r>
      <w:r w:rsidR="00B37D5C">
        <w:t xml:space="preserve">. </w:t>
      </w:r>
      <w:r>
        <w:t>Of the 58 energy entities that perform the activity of thermal energy supply</w:t>
      </w:r>
      <w:r w:rsidR="00B37D5C">
        <w:t xml:space="preserve"> in Serbia</w:t>
      </w:r>
      <w:r>
        <w:t>, 16 of them appl</w:t>
      </w:r>
      <w:r w:rsidR="00B37D5C">
        <w:t>ied</w:t>
      </w:r>
      <w:r>
        <w:t xml:space="preserve"> the Methodology in full format in the entire territory of heat energy supply.</w:t>
      </w:r>
      <w:r w:rsidR="00B37D5C">
        <w:t xml:space="preserve"> Municipality of Priboj is not on</w:t>
      </w:r>
      <w:r w:rsidR="003A2151">
        <w:t>e</w:t>
      </w:r>
      <w:r w:rsidR="00B37D5C">
        <w:t xml:space="preserve"> of them.</w:t>
      </w:r>
    </w:p>
    <w:p w14:paraId="0B49BD94" w14:textId="77777777" w:rsidR="004A2C36" w:rsidRDefault="004A2C36" w:rsidP="004A2C36">
      <w:r>
        <w:t>Vulnerable customers are treated through the Ordinance on energy-vulnerable customers ("Official Gazette of the RS", no. 137/2022 and 46/2023 - other regulations) which enables social policy not to be conducted through thermal energy tariffs.</w:t>
      </w:r>
    </w:p>
    <w:p w14:paraId="26FA81C7" w14:textId="5C50E269" w:rsidR="004A2C36" w:rsidRDefault="004A2C36" w:rsidP="004A2C36">
      <w:r>
        <w:t>All observed DHCs must make efforts and apply the Methodology  in full format while defining affordability taking into account vulnerable categories of heat energy customers.</w:t>
      </w:r>
    </w:p>
    <w:p w14:paraId="73516CCE" w14:textId="652DF4B0" w:rsidR="004A2C36" w:rsidRDefault="004A2C36" w:rsidP="004A2C36">
      <w:r>
        <w:lastRenderedPageBreak/>
        <w:t>In addition to the recommendations that will</w:t>
      </w:r>
      <w:r w:rsidR="00B37D5C">
        <w:t xml:space="preserve"> be suggested</w:t>
      </w:r>
      <w:r>
        <w:t xml:space="preserve"> for the method of switching to </w:t>
      </w:r>
      <w:r w:rsidR="00CB0DE5">
        <w:t>CBB</w:t>
      </w:r>
      <w:r>
        <w:t xml:space="preserve"> for the entire consumption area, the impact on the change in tariffs due to the investment in this project will be considered.</w:t>
      </w:r>
    </w:p>
    <w:p w14:paraId="3EB7237C" w14:textId="77777777" w:rsidR="00B37D5C" w:rsidRDefault="00B37D5C" w:rsidP="004A2C36">
      <w:r>
        <w:t xml:space="preserve">As a consequence of potential adjustments to the local Ordinance, a Rules for the distribution of heat energy costs from a common measuring point will be suggested for adoption. </w:t>
      </w:r>
      <w:r w:rsidR="004A2C36">
        <w:t>Wh</w:t>
      </w:r>
      <w:r>
        <w:t>ile</w:t>
      </w:r>
      <w:r w:rsidR="004A2C36">
        <w:t xml:space="preserve"> drafting the Rules for the distribution of heat energy costs from a common measuring point, it is necessary to regulate:</w:t>
      </w:r>
    </w:p>
    <w:p w14:paraId="3E085EDE" w14:textId="77777777" w:rsidR="00B37D5C" w:rsidRDefault="004A2C36" w:rsidP="004A2C36">
      <w:pPr>
        <w:pStyle w:val="ListParagraph"/>
        <w:numPr>
          <w:ilvl w:val="0"/>
          <w:numId w:val="29"/>
        </w:numPr>
      </w:pPr>
      <w:r>
        <w:t>Rights and obligations of legal entities or entrepreneurs who perform the reading and distribution of costs, the energy entity and end customers;</w:t>
      </w:r>
    </w:p>
    <w:p w14:paraId="6B3ACEC6" w14:textId="77777777" w:rsidR="00B37D5C" w:rsidRDefault="004A2C36" w:rsidP="004A2C36">
      <w:pPr>
        <w:pStyle w:val="ListParagraph"/>
        <w:numPr>
          <w:ilvl w:val="0"/>
          <w:numId w:val="29"/>
        </w:numPr>
      </w:pPr>
      <w:r>
        <w:t>Right of ownership of installed equipment;</w:t>
      </w:r>
    </w:p>
    <w:p w14:paraId="2BE19F05" w14:textId="77777777" w:rsidR="00B37D5C" w:rsidRDefault="004A2C36" w:rsidP="004A2C36">
      <w:pPr>
        <w:pStyle w:val="ListParagraph"/>
        <w:numPr>
          <w:ilvl w:val="0"/>
          <w:numId w:val="29"/>
        </w:numPr>
      </w:pPr>
      <w:r>
        <w:t>Obligation to maintain and service devices for the distribution of costs and thermostatic radiator sets and flow regulators with thermostats;</w:t>
      </w:r>
    </w:p>
    <w:p w14:paraId="4E9C90A9" w14:textId="77777777" w:rsidR="00B37D5C" w:rsidRDefault="004A2C36" w:rsidP="004A2C36">
      <w:pPr>
        <w:pStyle w:val="ListParagraph"/>
        <w:numPr>
          <w:ilvl w:val="0"/>
          <w:numId w:val="29"/>
        </w:numPr>
      </w:pPr>
      <w:r>
        <w:t>Share of common heat energy and the method of distribution in the event that devices for distributing costs are not installed or cannot be read or are inactive;</w:t>
      </w:r>
    </w:p>
    <w:p w14:paraId="59D3A218" w14:textId="77777777" w:rsidR="00B37D5C" w:rsidRDefault="004A2C36" w:rsidP="004A2C36">
      <w:pPr>
        <w:pStyle w:val="ListParagraph"/>
        <w:numPr>
          <w:ilvl w:val="0"/>
          <w:numId w:val="29"/>
        </w:numPr>
      </w:pPr>
      <w:r>
        <w:t>Minimum number of final customers of heat energy of the signatories of the contract for equipping devices for the distribution of costs from the common measuring point in the heat substation;</w:t>
      </w:r>
    </w:p>
    <w:p w14:paraId="6D6C2D12" w14:textId="77777777" w:rsidR="00B37D5C" w:rsidRDefault="004A2C36" w:rsidP="004A2C36">
      <w:pPr>
        <w:pStyle w:val="ListParagraph"/>
        <w:numPr>
          <w:ilvl w:val="0"/>
          <w:numId w:val="29"/>
        </w:numPr>
      </w:pPr>
      <w:r>
        <w:t>Defining the obligation to submit a report at the request of the end customer by the legal entities or entrepreneurs who perform the reading and distribution of costs  on the results achieved in order to efficiently use heat energy;</w:t>
      </w:r>
    </w:p>
    <w:p w14:paraId="4145937C" w14:textId="77777777" w:rsidR="00B37D5C" w:rsidRDefault="004A2C36" w:rsidP="004A2C36">
      <w:pPr>
        <w:pStyle w:val="ListParagraph"/>
        <w:numPr>
          <w:ilvl w:val="0"/>
          <w:numId w:val="29"/>
        </w:numPr>
      </w:pPr>
      <w:r>
        <w:t>Duration of the contract, and</w:t>
      </w:r>
    </w:p>
    <w:p w14:paraId="58B34941" w14:textId="15273B96" w:rsidR="00684C00" w:rsidRDefault="004A2C36" w:rsidP="004A2C36">
      <w:pPr>
        <w:pStyle w:val="ListParagraph"/>
        <w:numPr>
          <w:ilvl w:val="0"/>
          <w:numId w:val="29"/>
        </w:numPr>
      </w:pPr>
      <w:r>
        <w:t>Other property legal relations.</w:t>
      </w:r>
    </w:p>
    <w:p w14:paraId="2EF8EC14" w14:textId="59869693" w:rsidR="00D041CF" w:rsidRDefault="00D041CF" w:rsidP="00D041CF">
      <w:pPr>
        <w:pStyle w:val="Heading3"/>
      </w:pPr>
      <w:r>
        <w:t>Ordinance</w:t>
      </w:r>
      <w:r w:rsidRPr="00D041CF">
        <w:t xml:space="preserve"> on the Conditions and Method of Supplying Heat Energy</w:t>
      </w:r>
    </w:p>
    <w:p w14:paraId="1102D540" w14:textId="73BA8423" w:rsidR="00D041CF" w:rsidRDefault="00D041CF" w:rsidP="00D041CF">
      <w:r w:rsidRPr="00D041CF">
        <w:t>Each local self-government adopts a</w:t>
      </w:r>
      <w:r>
        <w:t>n</w:t>
      </w:r>
      <w:r w:rsidRPr="00D041CF">
        <w:t xml:space="preserve"> </w:t>
      </w:r>
      <w:r>
        <w:t>Ordinance</w:t>
      </w:r>
      <w:r w:rsidRPr="00D041CF">
        <w:t xml:space="preserve"> on the Conditions and Method of Supplying Heat Energy (hereinafter: the </w:t>
      </w:r>
      <w:r>
        <w:t>Ordinance</w:t>
      </w:r>
      <w:r w:rsidRPr="00D041CF">
        <w:t>) pursuant to Article 361 of the Energy Law (</w:t>
      </w:r>
      <w:r>
        <w:t>“</w:t>
      </w:r>
      <w:r w:rsidRPr="00D041CF">
        <w:t xml:space="preserve">Official Gazette of the Republic of Serbia”, Nos. 145/2014, 95/2018 amended law, 40/2021, 35/2023 amended law, 62/2023, 94/2024). In most jurisdictions these </w:t>
      </w:r>
      <w:r>
        <w:t>Ordinance</w:t>
      </w:r>
      <w:r w:rsidRPr="00D041CF">
        <w:t>s were adopted before recent amendments to the Energy Law and related legislation and typically date from 2013 to 2019. As a result, many are not fully aligned with the latest provisions of:</w:t>
      </w:r>
    </w:p>
    <w:p w14:paraId="62FD93A1" w14:textId="77777777" w:rsidR="00D041CF" w:rsidRDefault="00D041CF" w:rsidP="00D041CF">
      <w:pPr>
        <w:pStyle w:val="ListParagraph"/>
        <w:numPr>
          <w:ilvl w:val="0"/>
          <w:numId w:val="31"/>
        </w:numPr>
      </w:pPr>
      <w:r w:rsidRPr="00D041CF">
        <w:t>Energy Law ("Official Gazette of the Republic of Serbia", Nos. 145/2014, 95/2018 – amended, 40/2021, 35/2023 – amended, 62/2023, and 94/2024);</w:t>
      </w:r>
    </w:p>
    <w:p w14:paraId="693A8987" w14:textId="77777777" w:rsidR="00D041CF" w:rsidRDefault="00D041CF" w:rsidP="00D041CF">
      <w:pPr>
        <w:pStyle w:val="ListParagraph"/>
        <w:numPr>
          <w:ilvl w:val="0"/>
          <w:numId w:val="31"/>
        </w:numPr>
      </w:pPr>
      <w:r w:rsidRPr="00D041CF">
        <w:t>Law on Energy Efficiency and Rational Use of Energy ("Official Gazette of the Republic of Serbia", No. 40/2021);</w:t>
      </w:r>
    </w:p>
    <w:p w14:paraId="1347B780" w14:textId="77777777" w:rsidR="00D041CF" w:rsidRDefault="00D041CF" w:rsidP="00D041CF">
      <w:pPr>
        <w:pStyle w:val="ListParagraph"/>
        <w:numPr>
          <w:ilvl w:val="0"/>
          <w:numId w:val="31"/>
        </w:numPr>
      </w:pPr>
      <w:r w:rsidRPr="00D041CF">
        <w:t>Law on the Use of Renewable Energy Sources ("Official Gazette of RS", Nos. 40/2021, 35/2023, and 94/2024 – other laws);</w:t>
      </w:r>
    </w:p>
    <w:p w14:paraId="19A13FB4" w14:textId="77777777" w:rsidR="00D041CF" w:rsidRDefault="00D041CF" w:rsidP="00D041CF">
      <w:pPr>
        <w:pStyle w:val="ListParagraph"/>
        <w:numPr>
          <w:ilvl w:val="0"/>
          <w:numId w:val="31"/>
        </w:numPr>
      </w:pPr>
      <w:r w:rsidRPr="00D041CF">
        <w:t>Law on Communal Activities ("Official Gazette of RS", Nos. 88/2011, 104/2016, 95/2018, and 94/2024);</w:t>
      </w:r>
    </w:p>
    <w:p w14:paraId="0CA36731" w14:textId="77777777" w:rsidR="00D041CF" w:rsidRDefault="00D041CF" w:rsidP="00D041CF">
      <w:pPr>
        <w:pStyle w:val="ListParagraph"/>
        <w:numPr>
          <w:ilvl w:val="0"/>
          <w:numId w:val="31"/>
        </w:numPr>
      </w:pPr>
      <w:r w:rsidRPr="00D041CF">
        <w:lastRenderedPageBreak/>
        <w:t>Law on Planning and Construction ("Official Gazette of RS", Nos. 72/2009, 81/2009 – correction, 64/2010 – Constitutional Court decision, 24/2011, 121/2012, 42/2013 – Constitutional Court decision, 50/2013 – Constitutional Court decision, 98/2013 – Constitutional Court decision, 132/2014, 145/2014, 83/2018, 31/2019, 37/2019 – other laws, 9/2020, 52/2021, and 62/2023);</w:t>
      </w:r>
    </w:p>
    <w:p w14:paraId="77E6D85E" w14:textId="77777777" w:rsidR="00D041CF" w:rsidRDefault="00D041CF" w:rsidP="00D041CF">
      <w:pPr>
        <w:pStyle w:val="ListParagraph"/>
        <w:numPr>
          <w:ilvl w:val="0"/>
          <w:numId w:val="31"/>
        </w:numPr>
      </w:pPr>
      <w:r w:rsidRPr="00D041CF">
        <w:t>Law on Consumer Protection ("Official Gazette of RS", No. 88/2021).</w:t>
      </w:r>
    </w:p>
    <w:p w14:paraId="02849A21" w14:textId="16C030BA" w:rsidR="00D041CF" w:rsidRDefault="00D041CF" w:rsidP="00D041CF">
      <w:r w:rsidRPr="00D041CF">
        <w:t xml:space="preserve">In most cases, these </w:t>
      </w:r>
      <w:r>
        <w:t>Ordinance</w:t>
      </w:r>
      <w:r w:rsidRPr="00D041CF">
        <w:t>s were adopted by the competent authorities of the local self-government units prior to the amendments to the Energy Law and therefore date back to the period between 2013 and 2019.</w:t>
      </w:r>
    </w:p>
    <w:p w14:paraId="0AD5986B" w14:textId="77777777" w:rsidR="009A0582" w:rsidRDefault="009A0582" w:rsidP="009A0582">
      <w:pPr>
        <w:pStyle w:val="Heading3"/>
      </w:pPr>
      <w:r w:rsidRPr="009A0582">
        <w:t>Rules for the Allocation of Heat Energy Costs from the Common Measuring Point at the Heat Exchange Station</w:t>
      </w:r>
    </w:p>
    <w:p w14:paraId="1B895696" w14:textId="77777777" w:rsidR="009A0582" w:rsidRDefault="009A0582" w:rsidP="00D041CF">
      <w:r w:rsidRPr="009A0582">
        <w:t xml:space="preserve">This rulebook is is pivotal, since it will operationalise how the </w:t>
      </w:r>
      <w:r>
        <w:t>CBB introduction</w:t>
      </w:r>
      <w:r w:rsidRPr="009A0582">
        <w:t xml:space="preserve"> translate into user bills. Past experience shows uneven practices in allocation across </w:t>
      </w:r>
      <w:r>
        <w:t>DHS</w:t>
      </w:r>
      <w:r w:rsidRPr="009A0582">
        <w:t>, leading to legal disputes and penalties from market inspectors due to inconsistent application of overlapping regulations.</w:t>
      </w:r>
    </w:p>
    <w:p w14:paraId="2D8C3FE0" w14:textId="2C82F084" w:rsidR="009A0582" w:rsidRDefault="009A0582" w:rsidP="00D041CF">
      <w:r w:rsidRPr="009A0582">
        <w:t xml:space="preserve">Since 2015 the Government has adopted the Methodology for determining the price of supplying heat energy to the final customer, which </w:t>
      </w:r>
      <w:r>
        <w:t>DHS</w:t>
      </w:r>
      <w:r w:rsidRPr="009A0582">
        <w:t>s were expected to apply from 1 October 2015. The Energy Inspector was assigned oversight under the Energy Law, but delays in appointments meant that effective supervision was not in place.</w:t>
      </w:r>
    </w:p>
    <w:p w14:paraId="0C9EAA44" w14:textId="3703F2F4" w:rsidR="009A0582" w:rsidRPr="00A37E68" w:rsidRDefault="009A0582" w:rsidP="00D041CF">
      <w:r w:rsidRPr="009A0582">
        <w:t>The main issue faced by DHCs that applied the Methodology and allocated heat energy from the common measuring point was that many apartments, for various reasons, refused to install devices for the allocation of heat energy costs. Previous rulebooks concerning apartments without installed heat energy cost allocation devices from a common measuring point included provisions for “penalty” coefficients. These provisions led to unfavourable decisions by the Market Inspection and the imposition of subsequent fines.</w:t>
      </w:r>
    </w:p>
    <w:sectPr w:rsidR="009A0582" w:rsidRPr="00A37E68" w:rsidSect="004F28F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70D0"/>
    <w:multiLevelType w:val="hybridMultilevel"/>
    <w:tmpl w:val="7A9E9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2650D"/>
    <w:multiLevelType w:val="hybridMultilevel"/>
    <w:tmpl w:val="D552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B0BE3"/>
    <w:multiLevelType w:val="hybridMultilevel"/>
    <w:tmpl w:val="5CB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124A"/>
    <w:multiLevelType w:val="hybridMultilevel"/>
    <w:tmpl w:val="CEA0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60FF0"/>
    <w:multiLevelType w:val="hybridMultilevel"/>
    <w:tmpl w:val="45625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85BD3"/>
    <w:multiLevelType w:val="hybridMultilevel"/>
    <w:tmpl w:val="1012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A4D69"/>
    <w:multiLevelType w:val="hybridMultilevel"/>
    <w:tmpl w:val="0E86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2393E"/>
    <w:multiLevelType w:val="hybridMultilevel"/>
    <w:tmpl w:val="619E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711A9"/>
    <w:multiLevelType w:val="hybridMultilevel"/>
    <w:tmpl w:val="8CF4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64DF9"/>
    <w:multiLevelType w:val="hybridMultilevel"/>
    <w:tmpl w:val="FE04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20DEA"/>
    <w:multiLevelType w:val="hybridMultilevel"/>
    <w:tmpl w:val="FDE4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900F2"/>
    <w:multiLevelType w:val="hybridMultilevel"/>
    <w:tmpl w:val="007E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02047"/>
    <w:multiLevelType w:val="hybridMultilevel"/>
    <w:tmpl w:val="DDE4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F5EFA"/>
    <w:multiLevelType w:val="hybridMultilevel"/>
    <w:tmpl w:val="DFEE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D3173"/>
    <w:multiLevelType w:val="hybridMultilevel"/>
    <w:tmpl w:val="AC22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B2652"/>
    <w:multiLevelType w:val="hybridMultilevel"/>
    <w:tmpl w:val="8AC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D2FA6"/>
    <w:multiLevelType w:val="hybridMultilevel"/>
    <w:tmpl w:val="725C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E3B7C"/>
    <w:multiLevelType w:val="hybridMultilevel"/>
    <w:tmpl w:val="76FC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D24F2"/>
    <w:multiLevelType w:val="hybridMultilevel"/>
    <w:tmpl w:val="42F0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F45E1"/>
    <w:multiLevelType w:val="hybridMultilevel"/>
    <w:tmpl w:val="F286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071F0"/>
    <w:multiLevelType w:val="hybridMultilevel"/>
    <w:tmpl w:val="9818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F6BC5"/>
    <w:multiLevelType w:val="hybridMultilevel"/>
    <w:tmpl w:val="43BC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31CB6"/>
    <w:multiLevelType w:val="hybridMultilevel"/>
    <w:tmpl w:val="52F298A8"/>
    <w:lvl w:ilvl="0" w:tplc="D29077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907385"/>
    <w:multiLevelType w:val="hybridMultilevel"/>
    <w:tmpl w:val="EEB2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65A62"/>
    <w:multiLevelType w:val="hybridMultilevel"/>
    <w:tmpl w:val="4648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2030E"/>
    <w:multiLevelType w:val="hybridMultilevel"/>
    <w:tmpl w:val="D122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8380B"/>
    <w:multiLevelType w:val="hybridMultilevel"/>
    <w:tmpl w:val="8B36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B6250"/>
    <w:multiLevelType w:val="hybridMultilevel"/>
    <w:tmpl w:val="DBB66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F5E02"/>
    <w:multiLevelType w:val="hybridMultilevel"/>
    <w:tmpl w:val="9C96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26411"/>
    <w:multiLevelType w:val="hybridMultilevel"/>
    <w:tmpl w:val="6C6E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26678"/>
    <w:multiLevelType w:val="hybridMultilevel"/>
    <w:tmpl w:val="C520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946791">
    <w:abstractNumId w:val="18"/>
  </w:num>
  <w:num w:numId="2" w16cid:durableId="808131739">
    <w:abstractNumId w:val="12"/>
  </w:num>
  <w:num w:numId="3" w16cid:durableId="317029737">
    <w:abstractNumId w:val="13"/>
  </w:num>
  <w:num w:numId="4" w16cid:durableId="1136294228">
    <w:abstractNumId w:val="23"/>
  </w:num>
  <w:num w:numId="5" w16cid:durableId="1987513329">
    <w:abstractNumId w:val="14"/>
  </w:num>
  <w:num w:numId="6" w16cid:durableId="1072235014">
    <w:abstractNumId w:val="3"/>
  </w:num>
  <w:num w:numId="7" w16cid:durableId="1414398453">
    <w:abstractNumId w:val="30"/>
  </w:num>
  <w:num w:numId="8" w16cid:durableId="1980069864">
    <w:abstractNumId w:val="24"/>
  </w:num>
  <w:num w:numId="9" w16cid:durableId="1063061619">
    <w:abstractNumId w:val="19"/>
  </w:num>
  <w:num w:numId="10" w16cid:durableId="1991400500">
    <w:abstractNumId w:val="2"/>
  </w:num>
  <w:num w:numId="11" w16cid:durableId="915439243">
    <w:abstractNumId w:val="17"/>
  </w:num>
  <w:num w:numId="12" w16cid:durableId="55862986">
    <w:abstractNumId w:val="21"/>
  </w:num>
  <w:num w:numId="13" w16cid:durableId="298724828">
    <w:abstractNumId w:val="4"/>
  </w:num>
  <w:num w:numId="14" w16cid:durableId="969551913">
    <w:abstractNumId w:val="16"/>
  </w:num>
  <w:num w:numId="15" w16cid:durableId="952126741">
    <w:abstractNumId w:val="6"/>
  </w:num>
  <w:num w:numId="16" w16cid:durableId="1314794060">
    <w:abstractNumId w:val="27"/>
  </w:num>
  <w:num w:numId="17" w16cid:durableId="868302900">
    <w:abstractNumId w:val="15"/>
  </w:num>
  <w:num w:numId="18" w16cid:durableId="102262532">
    <w:abstractNumId w:val="25"/>
  </w:num>
  <w:num w:numId="19" w16cid:durableId="1321230946">
    <w:abstractNumId w:val="7"/>
  </w:num>
  <w:num w:numId="20" w16cid:durableId="394355646">
    <w:abstractNumId w:val="26"/>
  </w:num>
  <w:num w:numId="21" w16cid:durableId="846092075">
    <w:abstractNumId w:val="9"/>
  </w:num>
  <w:num w:numId="22" w16cid:durableId="1867599453">
    <w:abstractNumId w:val="0"/>
  </w:num>
  <w:num w:numId="23" w16cid:durableId="840975821">
    <w:abstractNumId w:val="8"/>
  </w:num>
  <w:num w:numId="24" w16cid:durableId="1648239312">
    <w:abstractNumId w:val="5"/>
  </w:num>
  <w:num w:numId="25" w16cid:durableId="770978874">
    <w:abstractNumId w:val="1"/>
  </w:num>
  <w:num w:numId="26" w16cid:durableId="369692438">
    <w:abstractNumId w:val="22"/>
  </w:num>
  <w:num w:numId="27" w16cid:durableId="476923236">
    <w:abstractNumId w:val="28"/>
  </w:num>
  <w:num w:numId="28" w16cid:durableId="1120682636">
    <w:abstractNumId w:val="11"/>
  </w:num>
  <w:num w:numId="29" w16cid:durableId="1749158174">
    <w:abstractNumId w:val="29"/>
  </w:num>
  <w:num w:numId="30" w16cid:durableId="34015106">
    <w:abstractNumId w:val="10"/>
  </w:num>
  <w:num w:numId="31" w16cid:durableId="10512282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F2"/>
    <w:rsid w:val="00024FA0"/>
    <w:rsid w:val="0006379C"/>
    <w:rsid w:val="000707AF"/>
    <w:rsid w:val="00074BF3"/>
    <w:rsid w:val="000A7FB0"/>
    <w:rsid w:val="000E49C1"/>
    <w:rsid w:val="001209D0"/>
    <w:rsid w:val="001277C1"/>
    <w:rsid w:val="00147196"/>
    <w:rsid w:val="001523B2"/>
    <w:rsid w:val="00194F99"/>
    <w:rsid w:val="00247BB9"/>
    <w:rsid w:val="00281B21"/>
    <w:rsid w:val="002973FF"/>
    <w:rsid w:val="002C57B2"/>
    <w:rsid w:val="00335BAE"/>
    <w:rsid w:val="003572C1"/>
    <w:rsid w:val="003A2151"/>
    <w:rsid w:val="003E082D"/>
    <w:rsid w:val="003E492D"/>
    <w:rsid w:val="003E5D18"/>
    <w:rsid w:val="00417464"/>
    <w:rsid w:val="004A031C"/>
    <w:rsid w:val="004A2C36"/>
    <w:rsid w:val="004E59E7"/>
    <w:rsid w:val="004F28F2"/>
    <w:rsid w:val="004F7EA4"/>
    <w:rsid w:val="00572760"/>
    <w:rsid w:val="00574997"/>
    <w:rsid w:val="0058357F"/>
    <w:rsid w:val="005C5263"/>
    <w:rsid w:val="005F637A"/>
    <w:rsid w:val="00606F16"/>
    <w:rsid w:val="00660D3C"/>
    <w:rsid w:val="00684C00"/>
    <w:rsid w:val="00692788"/>
    <w:rsid w:val="006F5F73"/>
    <w:rsid w:val="006F7D53"/>
    <w:rsid w:val="007336E5"/>
    <w:rsid w:val="007364DF"/>
    <w:rsid w:val="00746761"/>
    <w:rsid w:val="007852F6"/>
    <w:rsid w:val="007973FD"/>
    <w:rsid w:val="008A738B"/>
    <w:rsid w:val="008D07E2"/>
    <w:rsid w:val="0093574C"/>
    <w:rsid w:val="009623F8"/>
    <w:rsid w:val="00975B5D"/>
    <w:rsid w:val="009A0582"/>
    <w:rsid w:val="009B423F"/>
    <w:rsid w:val="009E6522"/>
    <w:rsid w:val="00A024DC"/>
    <w:rsid w:val="00A31F92"/>
    <w:rsid w:val="00A37E68"/>
    <w:rsid w:val="00A46C22"/>
    <w:rsid w:val="00AD7F3C"/>
    <w:rsid w:val="00AF6D66"/>
    <w:rsid w:val="00B058BB"/>
    <w:rsid w:val="00B36842"/>
    <w:rsid w:val="00B37D5C"/>
    <w:rsid w:val="00B91193"/>
    <w:rsid w:val="00C04125"/>
    <w:rsid w:val="00C204E0"/>
    <w:rsid w:val="00C4660C"/>
    <w:rsid w:val="00CB0DE5"/>
    <w:rsid w:val="00CB62F4"/>
    <w:rsid w:val="00CC0D26"/>
    <w:rsid w:val="00CE7DA7"/>
    <w:rsid w:val="00D041CF"/>
    <w:rsid w:val="00D0643F"/>
    <w:rsid w:val="00D350F2"/>
    <w:rsid w:val="00D56BC8"/>
    <w:rsid w:val="00E00318"/>
    <w:rsid w:val="00E6117A"/>
    <w:rsid w:val="00E83190"/>
    <w:rsid w:val="00E86D55"/>
    <w:rsid w:val="00ED3A64"/>
    <w:rsid w:val="00F378DB"/>
    <w:rsid w:val="00F55A70"/>
    <w:rsid w:val="00F5632A"/>
    <w:rsid w:val="00F6307A"/>
    <w:rsid w:val="00FB3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70F1"/>
  <w15:chartTrackingRefBased/>
  <w15:docId w15:val="{D67ED46F-7FE2-4041-87DF-566FEDA4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8F2"/>
    <w:rPr>
      <w:rFonts w:eastAsiaTheme="majorEastAsia" w:cstheme="majorBidi"/>
      <w:color w:val="272727" w:themeColor="text1" w:themeTint="D8"/>
    </w:rPr>
  </w:style>
  <w:style w:type="paragraph" w:styleId="Title">
    <w:name w:val="Title"/>
    <w:basedOn w:val="Normal"/>
    <w:next w:val="Normal"/>
    <w:link w:val="TitleChar"/>
    <w:uiPriority w:val="10"/>
    <w:qFormat/>
    <w:rsid w:val="004F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8F2"/>
    <w:pPr>
      <w:spacing w:before="160"/>
      <w:jc w:val="center"/>
    </w:pPr>
    <w:rPr>
      <w:i/>
      <w:iCs/>
      <w:color w:val="404040" w:themeColor="text1" w:themeTint="BF"/>
    </w:rPr>
  </w:style>
  <w:style w:type="character" w:customStyle="1" w:styleId="QuoteChar">
    <w:name w:val="Quote Char"/>
    <w:basedOn w:val="DefaultParagraphFont"/>
    <w:link w:val="Quote"/>
    <w:uiPriority w:val="29"/>
    <w:rsid w:val="004F28F2"/>
    <w:rPr>
      <w:i/>
      <w:iCs/>
      <w:color w:val="404040" w:themeColor="text1" w:themeTint="BF"/>
    </w:rPr>
  </w:style>
  <w:style w:type="paragraph" w:styleId="ListParagraph">
    <w:name w:val="List Paragraph"/>
    <w:basedOn w:val="Normal"/>
    <w:uiPriority w:val="34"/>
    <w:qFormat/>
    <w:rsid w:val="004F28F2"/>
    <w:pPr>
      <w:ind w:left="720"/>
      <w:contextualSpacing/>
    </w:pPr>
  </w:style>
  <w:style w:type="character" w:styleId="IntenseEmphasis">
    <w:name w:val="Intense Emphasis"/>
    <w:basedOn w:val="DefaultParagraphFont"/>
    <w:uiPriority w:val="21"/>
    <w:qFormat/>
    <w:rsid w:val="004F28F2"/>
    <w:rPr>
      <w:i/>
      <w:iCs/>
      <w:color w:val="0F4761" w:themeColor="accent1" w:themeShade="BF"/>
    </w:rPr>
  </w:style>
  <w:style w:type="paragraph" w:styleId="IntenseQuote">
    <w:name w:val="Intense Quote"/>
    <w:basedOn w:val="Normal"/>
    <w:next w:val="Normal"/>
    <w:link w:val="IntenseQuoteChar"/>
    <w:uiPriority w:val="30"/>
    <w:qFormat/>
    <w:rsid w:val="004F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8F2"/>
    <w:rPr>
      <w:i/>
      <w:iCs/>
      <w:color w:val="0F4761" w:themeColor="accent1" w:themeShade="BF"/>
    </w:rPr>
  </w:style>
  <w:style w:type="character" w:styleId="IntenseReference">
    <w:name w:val="Intense Reference"/>
    <w:basedOn w:val="DefaultParagraphFont"/>
    <w:uiPriority w:val="32"/>
    <w:qFormat/>
    <w:rsid w:val="004F28F2"/>
    <w:rPr>
      <w:b/>
      <w:bCs/>
      <w:smallCaps/>
      <w:color w:val="0F4761" w:themeColor="accent1" w:themeShade="BF"/>
      <w:spacing w:val="5"/>
    </w:rPr>
  </w:style>
  <w:style w:type="paragraph" w:styleId="NoSpacing">
    <w:name w:val="No Spacing"/>
    <w:link w:val="NoSpacingChar"/>
    <w:uiPriority w:val="1"/>
    <w:qFormat/>
    <w:rsid w:val="004F28F2"/>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4F28F2"/>
    <w:rPr>
      <w:rFonts w:eastAsiaTheme="minorEastAsia"/>
      <w:kern w:val="0"/>
      <w:sz w:val="22"/>
      <w:szCs w:val="22"/>
      <w:lang w:eastAsia="en-GB"/>
      <w14:ligatures w14:val="none"/>
    </w:rPr>
  </w:style>
  <w:style w:type="paragraph" w:styleId="Caption">
    <w:name w:val="caption"/>
    <w:basedOn w:val="Normal"/>
    <w:next w:val="Normal"/>
    <w:uiPriority w:val="35"/>
    <w:unhideWhenUsed/>
    <w:qFormat/>
    <w:rsid w:val="003E492D"/>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7973FD"/>
    <w:rPr>
      <w:sz w:val="16"/>
      <w:szCs w:val="16"/>
    </w:rPr>
  </w:style>
  <w:style w:type="paragraph" w:styleId="CommentText">
    <w:name w:val="annotation text"/>
    <w:basedOn w:val="Normal"/>
    <w:link w:val="CommentTextChar"/>
    <w:uiPriority w:val="99"/>
    <w:semiHidden/>
    <w:unhideWhenUsed/>
    <w:rsid w:val="007973FD"/>
    <w:pPr>
      <w:spacing w:line="240" w:lineRule="auto"/>
    </w:pPr>
    <w:rPr>
      <w:sz w:val="20"/>
      <w:szCs w:val="20"/>
    </w:rPr>
  </w:style>
  <w:style w:type="character" w:customStyle="1" w:styleId="CommentTextChar">
    <w:name w:val="Comment Text Char"/>
    <w:basedOn w:val="DefaultParagraphFont"/>
    <w:link w:val="CommentText"/>
    <w:uiPriority w:val="99"/>
    <w:semiHidden/>
    <w:rsid w:val="007973FD"/>
    <w:rPr>
      <w:sz w:val="20"/>
      <w:szCs w:val="20"/>
    </w:rPr>
  </w:style>
  <w:style w:type="paragraph" w:styleId="CommentSubject">
    <w:name w:val="annotation subject"/>
    <w:basedOn w:val="CommentText"/>
    <w:next w:val="CommentText"/>
    <w:link w:val="CommentSubjectChar"/>
    <w:uiPriority w:val="99"/>
    <w:semiHidden/>
    <w:unhideWhenUsed/>
    <w:rsid w:val="007973FD"/>
    <w:rPr>
      <w:b/>
      <w:bCs/>
    </w:rPr>
  </w:style>
  <w:style w:type="character" w:customStyle="1" w:styleId="CommentSubjectChar">
    <w:name w:val="Comment Subject Char"/>
    <w:basedOn w:val="CommentTextChar"/>
    <w:link w:val="CommentSubject"/>
    <w:uiPriority w:val="99"/>
    <w:semiHidden/>
    <w:rsid w:val="007973FD"/>
    <w:rPr>
      <w:b/>
      <w:bCs/>
      <w:sz w:val="20"/>
      <w:szCs w:val="20"/>
    </w:rPr>
  </w:style>
  <w:style w:type="paragraph" w:styleId="BalloonText">
    <w:name w:val="Balloon Text"/>
    <w:basedOn w:val="Normal"/>
    <w:link w:val="BalloonTextChar"/>
    <w:uiPriority w:val="99"/>
    <w:semiHidden/>
    <w:unhideWhenUsed/>
    <w:rsid w:val="00797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Vrbas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621E9B-376A-4121-B95B-6CE37DD8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9</Pages>
  <Words>2539</Words>
  <Characters>15083</Characters>
  <Application>Microsoft Office Word</Application>
  <DocSecurity>0</DocSecurity>
  <Lines>284</Lines>
  <Paragraphs>139</Paragraphs>
  <ScaleCrop>false</ScaleCrop>
  <HeadingPairs>
    <vt:vector size="2" baseType="variant">
      <vt:variant>
        <vt:lpstr>Title</vt:lpstr>
      </vt:variant>
      <vt:variant>
        <vt:i4>1</vt:i4>
      </vt:variant>
    </vt:vector>
  </HeadingPairs>
  <TitlesOfParts>
    <vt:vector size="1" baseType="lpstr">
      <vt:lpstr>Analysis of technical, regulatory and strategic shortcomings for energy reconstruction of residential buildings connected to central heating systems</vt:lpstr>
    </vt:vector>
  </TitlesOfParts>
  <Company>LEMM Consulting</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technical, regulatory and strategic shortcomings for energy reconstruction of residential buildings connected to district heating systems</dc:title>
  <dc:subject/>
  <dc:creator>Željko Zečević, Nikola Vujović, Bojan Gajić</dc:creator>
  <cp:keywords/>
  <dc:description/>
  <cp:lastModifiedBy>Bojan Gajic</cp:lastModifiedBy>
  <cp:revision>19</cp:revision>
  <dcterms:created xsi:type="dcterms:W3CDTF">2026-03-24T18:21:00Z</dcterms:created>
  <dcterms:modified xsi:type="dcterms:W3CDTF">2026-03-26T18:13:00Z</dcterms:modified>
</cp:coreProperties>
</file>