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E7F" w:rsidRPr="00036961" w:rsidRDefault="00F02E7F" w:rsidP="00F02E7F">
      <w:pPr>
        <w:pStyle w:val="Header"/>
        <w:spacing w:before="0" w:after="360"/>
        <w:jc w:val="center"/>
        <w:rPr>
          <w:rFonts w:ascii="Times New Roman" w:hAnsi="Times New Roman"/>
          <w:sz w:val="28"/>
          <w:szCs w:val="28"/>
        </w:rPr>
      </w:pPr>
      <w:r w:rsidRPr="00036961">
        <w:rPr>
          <w:rFonts w:ascii="Times New Roman" w:hAnsi="Times New Roman"/>
          <w:sz w:val="28"/>
          <w:szCs w:val="28"/>
        </w:rPr>
        <w:t>EC programmes</w:t>
      </w:r>
    </w:p>
    <w:p w:rsidR="00F02E7F" w:rsidRPr="00CF23E3" w:rsidRDefault="00F02E7F" w:rsidP="00776F45">
      <w:pPr>
        <w:pBdr>
          <w:top w:val="single" w:sz="4" w:space="1" w:color="auto"/>
          <w:left w:val="single" w:sz="4" w:space="0" w:color="auto"/>
          <w:bottom w:val="single" w:sz="4" w:space="1" w:color="auto"/>
          <w:right w:val="single" w:sz="4" w:space="4" w:color="auto"/>
        </w:pBdr>
        <w:tabs>
          <w:tab w:val="left" w:pos="993"/>
        </w:tabs>
        <w:ind w:left="851" w:hanging="709"/>
        <w:rPr>
          <w:sz w:val="28"/>
          <w:szCs w:val="28"/>
          <w:lang w:val="en-GB"/>
        </w:rPr>
      </w:pPr>
      <w:r>
        <w:rPr>
          <w:b/>
          <w:sz w:val="28"/>
          <w:szCs w:val="28"/>
          <w:lang w:val="en-GB"/>
        </w:rPr>
        <w:t>Part 1</w:t>
      </w:r>
      <w:r w:rsidRPr="00264FF7">
        <w:rPr>
          <w:b/>
          <w:sz w:val="28"/>
          <w:szCs w:val="28"/>
          <w:lang w:val="en-GB"/>
        </w:rPr>
        <w:tab/>
        <w:t xml:space="preserve">Regulations </w:t>
      </w:r>
      <w:r>
        <w:rPr>
          <w:b/>
          <w:sz w:val="28"/>
          <w:szCs w:val="28"/>
          <w:lang w:val="en-GB"/>
        </w:rPr>
        <w:t xml:space="preserve">concerning </w:t>
      </w:r>
      <w:r w:rsidRPr="00264FF7">
        <w:rPr>
          <w:b/>
          <w:sz w:val="28"/>
          <w:szCs w:val="28"/>
          <w:lang w:val="en-GB"/>
        </w:rPr>
        <w:t xml:space="preserve">external assistance </w:t>
      </w:r>
    </w:p>
    <w:p w:rsidR="00A256C4" w:rsidRDefault="00A256C4" w:rsidP="00264FF7">
      <w:pPr>
        <w:tabs>
          <w:tab w:val="left" w:pos="1701"/>
        </w:tabs>
        <w:jc w:val="both"/>
        <w:rPr>
          <w:sz w:val="22"/>
          <w:szCs w:val="22"/>
          <w:lang w:val="en-GB"/>
        </w:rPr>
      </w:pPr>
    </w:p>
    <w:p w:rsidR="00CD5855" w:rsidRDefault="001B263C" w:rsidP="00264FF7">
      <w:pPr>
        <w:tabs>
          <w:tab w:val="left" w:pos="1701"/>
        </w:tabs>
        <w:jc w:val="both"/>
        <w:rPr>
          <w:b/>
          <w:szCs w:val="24"/>
          <w:lang w:val="en-GB"/>
        </w:rPr>
      </w:pPr>
      <w:r>
        <w:rPr>
          <w:b/>
          <w:szCs w:val="24"/>
          <w:u w:val="single"/>
          <w:lang w:val="en-GB"/>
        </w:rPr>
        <w:t xml:space="preserve">Action financed under </w:t>
      </w:r>
      <w:r w:rsidRPr="003735CB">
        <w:rPr>
          <w:b/>
          <w:szCs w:val="24"/>
          <w:u w:val="single"/>
          <w:lang w:val="en-GB"/>
        </w:rPr>
        <w:t>Instruments</w:t>
      </w:r>
      <w:r w:rsidR="00CD5855" w:rsidRPr="003735CB">
        <w:rPr>
          <w:b/>
          <w:szCs w:val="24"/>
          <w:u w:val="single"/>
          <w:lang w:val="en-GB"/>
        </w:rPr>
        <w:t xml:space="preserve"> </w:t>
      </w:r>
      <w:r w:rsidR="00170571" w:rsidRPr="003735CB">
        <w:rPr>
          <w:b/>
          <w:szCs w:val="24"/>
          <w:u w:val="single"/>
          <w:lang w:val="en-GB"/>
        </w:rPr>
        <w:t xml:space="preserve">for external actions </w:t>
      </w:r>
      <w:r w:rsidR="00CD5855" w:rsidRPr="003735CB">
        <w:rPr>
          <w:b/>
          <w:szCs w:val="24"/>
          <w:u w:val="single"/>
          <w:lang w:val="en-GB"/>
        </w:rPr>
        <w:t>2007-2013</w:t>
      </w:r>
      <w:r>
        <w:rPr>
          <w:b/>
          <w:szCs w:val="24"/>
          <w:u w:val="single"/>
          <w:lang w:val="en-GB"/>
        </w:rPr>
        <w:t xml:space="preserve"> for which the CIR does not apply</w:t>
      </w:r>
      <w:r w:rsidR="00CD5855" w:rsidRPr="00F02E7F">
        <w:rPr>
          <w:b/>
          <w:szCs w:val="24"/>
          <w:lang w:val="en-GB"/>
        </w:rPr>
        <w:t>:</w:t>
      </w:r>
    </w:p>
    <w:p w:rsidR="001B263C" w:rsidRDefault="001B263C" w:rsidP="00264FF7">
      <w:pPr>
        <w:tabs>
          <w:tab w:val="left" w:pos="1701"/>
        </w:tabs>
        <w:jc w:val="both"/>
        <w:rPr>
          <w:b/>
          <w:szCs w:val="24"/>
          <w:lang w:val="en-GB"/>
        </w:rPr>
      </w:pPr>
    </w:p>
    <w:p w:rsidR="001B263C" w:rsidRPr="001B263C" w:rsidRDefault="001B263C" w:rsidP="001B263C">
      <w:pPr>
        <w:spacing w:after="200" w:line="276" w:lineRule="auto"/>
        <w:jc w:val="both"/>
        <w:rPr>
          <w:lang w:val="en-GB" w:eastAsia="en-US"/>
        </w:rPr>
      </w:pPr>
      <w:r w:rsidRPr="001B263C">
        <w:rPr>
          <w:rFonts w:eastAsia="Calibri"/>
          <w:szCs w:val="24"/>
          <w:lang w:val="en-GB" w:eastAsia="en-US"/>
        </w:rPr>
        <w:t xml:space="preserve">As from its date of publication, 15 March 2014, the rules of eligibility (nationality and origin) laid down in the CIR are applicable to all calls financed under the </w:t>
      </w:r>
      <w:r w:rsidR="00445C79">
        <w:rPr>
          <w:rFonts w:eastAsia="Calibri"/>
          <w:szCs w:val="24"/>
          <w:lang w:val="en-GB" w:eastAsia="en-US"/>
        </w:rPr>
        <w:t>general b</w:t>
      </w:r>
      <w:r w:rsidRPr="001B263C">
        <w:rPr>
          <w:rFonts w:eastAsia="Calibri"/>
          <w:szCs w:val="24"/>
          <w:lang w:val="en-GB" w:eastAsia="en-US"/>
        </w:rPr>
        <w:t>udget</w:t>
      </w:r>
      <w:r w:rsidR="00445C79">
        <w:rPr>
          <w:rFonts w:eastAsia="Calibri"/>
          <w:szCs w:val="24"/>
          <w:lang w:val="en-GB" w:eastAsia="en-US"/>
        </w:rPr>
        <w:t xml:space="preserve"> of the Union</w:t>
      </w:r>
      <w:r w:rsidRPr="001B263C">
        <w:rPr>
          <w:rFonts w:eastAsia="Calibri"/>
          <w:szCs w:val="24"/>
          <w:lang w:val="en-GB" w:eastAsia="en-US"/>
        </w:rPr>
        <w:t xml:space="preserve"> wither financed under MFF 2007-2013 or 2014-2020, with the exception of calls funded under IPA </w:t>
      </w:r>
      <w:r>
        <w:rPr>
          <w:rFonts w:eastAsia="Calibri"/>
          <w:szCs w:val="24"/>
          <w:lang w:val="en-GB" w:eastAsia="en-US"/>
        </w:rPr>
        <w:t xml:space="preserve">I </w:t>
      </w:r>
      <w:r>
        <w:rPr>
          <w:lang w:val="en-GB" w:eastAsia="en-US"/>
        </w:rPr>
        <w:t>and</w:t>
      </w:r>
      <w:r w:rsidRPr="001B263C">
        <w:rPr>
          <w:b/>
          <w:lang w:val="en-GB" w:eastAsia="en-US"/>
        </w:rPr>
        <w:t xml:space="preserve"> </w:t>
      </w:r>
      <w:r w:rsidRPr="001B263C">
        <w:rPr>
          <w:szCs w:val="22"/>
          <w:lang w:val="en-GB" w:eastAsia="en-US"/>
        </w:rPr>
        <w:t>unless the applicable financing decisions or financing agreements expressly set out other rules (other than the standard reference to the basic act). This also applies to</w:t>
      </w:r>
      <w:r w:rsidRPr="001B263C">
        <w:rPr>
          <w:lang w:val="en-GB" w:eastAsia="en-US"/>
        </w:rPr>
        <w:t xml:space="preserve"> procurement by grant beneficiaries or other contractors</w:t>
      </w:r>
      <w:r w:rsidRPr="001B263C">
        <w:rPr>
          <w:vertAlign w:val="superscript"/>
          <w:lang w:val="en-GB" w:eastAsia="en-US"/>
        </w:rPr>
        <w:footnoteReference w:id="1"/>
      </w:r>
      <w:r w:rsidRPr="001B263C">
        <w:rPr>
          <w:lang w:val="en-GB" w:eastAsia="en-US"/>
        </w:rPr>
        <w:t xml:space="preserve">. </w:t>
      </w:r>
      <w:r>
        <w:rPr>
          <w:lang w:val="en-GB" w:eastAsia="en-US"/>
        </w:rPr>
        <w:t>For these calls you will find below the relevant legal bases applicable.</w:t>
      </w:r>
    </w:p>
    <w:p w:rsidR="000049C8" w:rsidRPr="00976287" w:rsidRDefault="003735CB" w:rsidP="00976287">
      <w:pPr>
        <w:spacing w:before="120" w:after="120"/>
        <w:ind w:left="1078" w:hanging="539"/>
        <w:jc w:val="both"/>
        <w:rPr>
          <w:sz w:val="22"/>
          <w:szCs w:val="22"/>
          <w:lang w:val="en-GB"/>
        </w:rPr>
      </w:pPr>
      <w:r w:rsidRPr="00976287">
        <w:rPr>
          <w:sz w:val="22"/>
          <w:szCs w:val="22"/>
          <w:lang w:val="en-GB"/>
        </w:rPr>
        <w:t>a)</w:t>
      </w:r>
      <w:r w:rsidR="000049C8" w:rsidRPr="00976287">
        <w:rPr>
          <w:sz w:val="22"/>
          <w:szCs w:val="22"/>
          <w:lang w:val="en-GB"/>
        </w:rPr>
        <w:tab/>
        <w:t>Financing instrument for development cooperation (Regulation (EC) N° 1905/2006 of the EP and of the Council - OJ L378/65 of 27.12.2006);</w:t>
      </w:r>
    </w:p>
    <w:p w:rsidR="000049C8" w:rsidRPr="00976287" w:rsidRDefault="000049C8" w:rsidP="00976287">
      <w:pPr>
        <w:spacing w:before="120" w:after="120"/>
        <w:ind w:left="1080" w:hanging="540"/>
        <w:jc w:val="both"/>
        <w:rPr>
          <w:sz w:val="22"/>
          <w:szCs w:val="22"/>
          <w:lang w:val="en-GB"/>
        </w:rPr>
      </w:pPr>
      <w:r w:rsidRPr="00976287">
        <w:rPr>
          <w:sz w:val="22"/>
          <w:szCs w:val="22"/>
          <w:lang w:val="en-GB"/>
        </w:rPr>
        <w:t>b)</w:t>
      </w:r>
      <w:r w:rsidRPr="00976287">
        <w:rPr>
          <w:sz w:val="22"/>
          <w:szCs w:val="22"/>
          <w:lang w:val="en-GB"/>
        </w:rPr>
        <w:tab/>
        <w:t>European Neighbourhood and Partnership instrument (Regulation (EC) N° 1638/2006 of the EP and of the Council - OJ L 310/1 of 9.11.2006);</w:t>
      </w:r>
    </w:p>
    <w:p w:rsidR="000049C8" w:rsidRPr="00976287" w:rsidRDefault="000049C8" w:rsidP="00976287">
      <w:pPr>
        <w:spacing w:before="120" w:after="120"/>
        <w:ind w:left="1080" w:hanging="540"/>
        <w:jc w:val="both"/>
        <w:rPr>
          <w:sz w:val="22"/>
          <w:szCs w:val="22"/>
          <w:lang w:val="en-GB"/>
        </w:rPr>
      </w:pPr>
      <w:r w:rsidRPr="00976287">
        <w:rPr>
          <w:sz w:val="22"/>
          <w:szCs w:val="22"/>
          <w:lang w:val="en-GB"/>
        </w:rPr>
        <w:t>c)</w:t>
      </w:r>
      <w:r w:rsidRPr="00976287">
        <w:rPr>
          <w:sz w:val="22"/>
          <w:szCs w:val="22"/>
          <w:lang w:val="en-GB"/>
        </w:rPr>
        <w:tab/>
        <w:t xml:space="preserve">Stability instrument (Regulation (EC) N° 1717/2006 of the EP and of the Council </w:t>
      </w:r>
      <w:r w:rsidR="00776F45">
        <w:rPr>
          <w:sz w:val="22"/>
          <w:szCs w:val="22"/>
          <w:lang w:val="en-GB"/>
        </w:rPr>
        <w:t>–</w:t>
      </w:r>
      <w:r w:rsidRPr="00976287">
        <w:rPr>
          <w:sz w:val="22"/>
          <w:szCs w:val="22"/>
          <w:lang w:val="en-GB"/>
        </w:rPr>
        <w:t xml:space="preserve"> OJ</w:t>
      </w:r>
      <w:r w:rsidR="00776F45">
        <w:rPr>
          <w:sz w:val="22"/>
          <w:szCs w:val="22"/>
          <w:lang w:val="en-GB"/>
        </w:rPr>
        <w:t> </w:t>
      </w:r>
      <w:r w:rsidRPr="00976287">
        <w:rPr>
          <w:sz w:val="22"/>
          <w:szCs w:val="22"/>
          <w:lang w:val="en-GB"/>
        </w:rPr>
        <w:t>L</w:t>
      </w:r>
      <w:r w:rsidR="00776F45">
        <w:rPr>
          <w:sz w:val="22"/>
          <w:szCs w:val="22"/>
          <w:lang w:val="en-GB"/>
        </w:rPr>
        <w:t> </w:t>
      </w:r>
      <w:r w:rsidRPr="00976287">
        <w:rPr>
          <w:sz w:val="22"/>
          <w:szCs w:val="22"/>
          <w:lang w:val="en-GB"/>
        </w:rPr>
        <w:t>327/1 of 24.11.2006);</w:t>
      </w:r>
    </w:p>
    <w:p w:rsidR="000049C8" w:rsidRPr="00976287" w:rsidRDefault="000049C8" w:rsidP="00976287">
      <w:pPr>
        <w:autoSpaceDE w:val="0"/>
        <w:autoSpaceDN w:val="0"/>
        <w:adjustRightInd w:val="0"/>
        <w:spacing w:before="120" w:after="120"/>
        <w:ind w:left="1080" w:hanging="540"/>
        <w:jc w:val="both"/>
        <w:rPr>
          <w:sz w:val="22"/>
          <w:szCs w:val="22"/>
          <w:lang w:val="en-GB"/>
        </w:rPr>
      </w:pPr>
      <w:r w:rsidRPr="00976287">
        <w:rPr>
          <w:sz w:val="22"/>
          <w:szCs w:val="22"/>
          <w:lang w:val="en-GB"/>
        </w:rPr>
        <w:t>d)</w:t>
      </w:r>
      <w:r w:rsidRPr="00976287">
        <w:rPr>
          <w:sz w:val="22"/>
          <w:szCs w:val="22"/>
          <w:lang w:val="en-GB"/>
        </w:rPr>
        <w:tab/>
        <w:t xml:space="preserve">Instrument for Pre-Accession Assistance (Council Regulation (EC) N° 1085/2006 </w:t>
      </w:r>
      <w:r w:rsidR="00776F45">
        <w:rPr>
          <w:sz w:val="22"/>
          <w:szCs w:val="22"/>
          <w:lang w:val="en-GB"/>
        </w:rPr>
        <w:t>–</w:t>
      </w:r>
      <w:r w:rsidRPr="00976287">
        <w:rPr>
          <w:sz w:val="22"/>
          <w:szCs w:val="22"/>
          <w:lang w:val="en-GB"/>
        </w:rPr>
        <w:t xml:space="preserve"> OJ</w:t>
      </w:r>
      <w:r w:rsidR="00776F45">
        <w:rPr>
          <w:sz w:val="22"/>
          <w:szCs w:val="22"/>
          <w:lang w:val="en-GB"/>
        </w:rPr>
        <w:t> </w:t>
      </w:r>
      <w:r w:rsidRPr="00976287">
        <w:rPr>
          <w:sz w:val="22"/>
          <w:szCs w:val="22"/>
          <w:lang w:val="en-GB"/>
        </w:rPr>
        <w:t>L</w:t>
      </w:r>
      <w:r w:rsidR="00776F45">
        <w:rPr>
          <w:sz w:val="22"/>
          <w:szCs w:val="22"/>
          <w:lang w:val="en-GB"/>
        </w:rPr>
        <w:t> </w:t>
      </w:r>
      <w:r w:rsidRPr="00976287">
        <w:rPr>
          <w:sz w:val="22"/>
          <w:szCs w:val="22"/>
          <w:lang w:val="en-GB"/>
        </w:rPr>
        <w:t>210/82 of 31.7.2006);</w:t>
      </w:r>
    </w:p>
    <w:p w:rsidR="000049C8" w:rsidRPr="00976287" w:rsidRDefault="000049C8" w:rsidP="00976287">
      <w:pPr>
        <w:autoSpaceDE w:val="0"/>
        <w:autoSpaceDN w:val="0"/>
        <w:adjustRightInd w:val="0"/>
        <w:spacing w:before="120" w:after="120"/>
        <w:ind w:left="1080" w:hanging="540"/>
        <w:jc w:val="both"/>
        <w:rPr>
          <w:sz w:val="22"/>
          <w:szCs w:val="22"/>
          <w:lang w:val="en-GB"/>
        </w:rPr>
      </w:pPr>
      <w:r w:rsidRPr="00976287">
        <w:rPr>
          <w:sz w:val="22"/>
          <w:szCs w:val="22"/>
          <w:lang w:val="en-GB"/>
        </w:rPr>
        <w:t>e)</w:t>
      </w:r>
      <w:r w:rsidRPr="00976287">
        <w:rPr>
          <w:sz w:val="22"/>
          <w:szCs w:val="22"/>
          <w:lang w:val="en-GB"/>
        </w:rPr>
        <w:tab/>
        <w:t>Financing instrument for the promotion of democracy and human rights worldwide</w:t>
      </w:r>
      <w:r w:rsidRPr="00976287">
        <w:rPr>
          <w:color w:val="0000FF"/>
          <w:sz w:val="22"/>
          <w:szCs w:val="22"/>
          <w:lang w:val="en-GB"/>
        </w:rPr>
        <w:t xml:space="preserve"> </w:t>
      </w:r>
      <w:r w:rsidRPr="00976287">
        <w:rPr>
          <w:sz w:val="22"/>
          <w:szCs w:val="22"/>
          <w:lang w:val="en-GB"/>
        </w:rPr>
        <w:t xml:space="preserve">(Regulation (EC) N° 1889/2006 </w:t>
      </w:r>
      <w:r w:rsidR="00941BCA" w:rsidRPr="00976287">
        <w:rPr>
          <w:sz w:val="22"/>
          <w:szCs w:val="22"/>
          <w:lang w:val="en-GB"/>
        </w:rPr>
        <w:t xml:space="preserve">of the EP and of the Council - </w:t>
      </w:r>
      <w:r w:rsidRPr="00976287">
        <w:rPr>
          <w:sz w:val="22"/>
          <w:szCs w:val="22"/>
          <w:lang w:val="en-GB"/>
        </w:rPr>
        <w:t>OJ L 386/1 of 29.12.2006);</w:t>
      </w:r>
    </w:p>
    <w:p w:rsidR="000049C8" w:rsidRPr="00976287" w:rsidRDefault="000049C8" w:rsidP="00976287">
      <w:pPr>
        <w:autoSpaceDE w:val="0"/>
        <w:autoSpaceDN w:val="0"/>
        <w:adjustRightInd w:val="0"/>
        <w:spacing w:before="120" w:after="120"/>
        <w:ind w:left="1080" w:hanging="540"/>
        <w:jc w:val="both"/>
        <w:rPr>
          <w:sz w:val="22"/>
          <w:szCs w:val="22"/>
          <w:lang w:val="en-GB"/>
        </w:rPr>
      </w:pPr>
      <w:r w:rsidRPr="00976287">
        <w:rPr>
          <w:sz w:val="22"/>
          <w:szCs w:val="22"/>
          <w:lang w:val="en-GB"/>
        </w:rPr>
        <w:t>f)</w:t>
      </w:r>
      <w:r w:rsidRPr="00976287">
        <w:rPr>
          <w:sz w:val="22"/>
          <w:szCs w:val="22"/>
          <w:lang w:val="en-GB"/>
        </w:rPr>
        <w:tab/>
        <w:t>Financing instrument for cooperation with industrialized and other high-income countries and territories (Council Regulation (EC) N° 1934/2006 - OJ L 405/41 of 30.12.2006);</w:t>
      </w:r>
    </w:p>
    <w:p w:rsidR="000049C8" w:rsidRPr="00976287" w:rsidRDefault="000049C8" w:rsidP="00976287">
      <w:pPr>
        <w:autoSpaceDE w:val="0"/>
        <w:autoSpaceDN w:val="0"/>
        <w:adjustRightInd w:val="0"/>
        <w:spacing w:before="120" w:after="120"/>
        <w:ind w:left="1080" w:hanging="540"/>
        <w:jc w:val="both"/>
        <w:rPr>
          <w:sz w:val="22"/>
          <w:szCs w:val="22"/>
          <w:lang w:val="en-GB"/>
        </w:rPr>
      </w:pPr>
      <w:r w:rsidRPr="00976287">
        <w:rPr>
          <w:sz w:val="22"/>
          <w:szCs w:val="22"/>
          <w:lang w:val="en-GB"/>
        </w:rPr>
        <w:t>g)</w:t>
      </w:r>
      <w:r w:rsidRPr="00976287">
        <w:rPr>
          <w:sz w:val="22"/>
          <w:szCs w:val="22"/>
          <w:lang w:val="en-GB"/>
        </w:rPr>
        <w:tab/>
        <w:t>Instrument for nuclear safety cooperation (</w:t>
      </w:r>
      <w:r w:rsidR="00481783" w:rsidRPr="00976287">
        <w:rPr>
          <w:sz w:val="22"/>
          <w:szCs w:val="22"/>
          <w:lang w:val="en-GB"/>
        </w:rPr>
        <w:t>EC) N° 300/2007 - OJ L 81/1 of 22.03.2007)</w:t>
      </w:r>
      <w:r w:rsidRPr="00976287">
        <w:rPr>
          <w:sz w:val="22"/>
          <w:szCs w:val="22"/>
          <w:lang w:val="en-GB"/>
        </w:rPr>
        <w:t>.</w:t>
      </w:r>
    </w:p>
    <w:p w:rsidR="000049C8" w:rsidRPr="00976287" w:rsidRDefault="000049C8" w:rsidP="00976287">
      <w:pPr>
        <w:numPr>
          <w:ilvl w:val="0"/>
          <w:numId w:val="5"/>
        </w:numPr>
        <w:tabs>
          <w:tab w:val="clear" w:pos="720"/>
          <w:tab w:val="num" w:pos="540"/>
        </w:tabs>
        <w:autoSpaceDE w:val="0"/>
        <w:autoSpaceDN w:val="0"/>
        <w:adjustRightInd w:val="0"/>
        <w:spacing w:before="120" w:after="120"/>
        <w:ind w:left="540" w:hanging="540"/>
        <w:jc w:val="both"/>
        <w:rPr>
          <w:sz w:val="22"/>
          <w:szCs w:val="22"/>
          <w:lang w:val="en-GB"/>
        </w:rPr>
      </w:pPr>
      <w:r w:rsidRPr="00976287">
        <w:rPr>
          <w:sz w:val="22"/>
          <w:szCs w:val="22"/>
          <w:lang w:val="en-GB"/>
        </w:rPr>
        <w:t>These new instruments are applicable for the period from 01.01.2007 until 31.12.2013.</w:t>
      </w:r>
    </w:p>
    <w:p w:rsidR="000049C8" w:rsidRPr="00976287" w:rsidRDefault="000049C8" w:rsidP="00976287">
      <w:pPr>
        <w:numPr>
          <w:ilvl w:val="0"/>
          <w:numId w:val="5"/>
        </w:numPr>
        <w:tabs>
          <w:tab w:val="clear" w:pos="720"/>
          <w:tab w:val="num" w:pos="540"/>
        </w:tabs>
        <w:autoSpaceDE w:val="0"/>
        <w:autoSpaceDN w:val="0"/>
        <w:adjustRightInd w:val="0"/>
        <w:spacing w:before="120" w:after="120"/>
        <w:ind w:left="540" w:hanging="540"/>
        <w:jc w:val="both"/>
        <w:rPr>
          <w:sz w:val="22"/>
          <w:szCs w:val="22"/>
          <w:lang w:val="en-GB"/>
        </w:rPr>
      </w:pPr>
      <w:r w:rsidRPr="00976287">
        <w:rPr>
          <w:sz w:val="22"/>
          <w:szCs w:val="22"/>
          <w:lang w:val="en-GB"/>
        </w:rPr>
        <w:t>Each of them integrates the content of the untying regulations (December 2005), which are replaced by the new instruments, according to the respective geographical scope of the fields of cooperation covered.</w:t>
      </w:r>
    </w:p>
    <w:p w:rsidR="0012042E" w:rsidRPr="00976287" w:rsidRDefault="00A233B9" w:rsidP="00976287">
      <w:pPr>
        <w:numPr>
          <w:ilvl w:val="0"/>
          <w:numId w:val="5"/>
        </w:numPr>
        <w:tabs>
          <w:tab w:val="clear" w:pos="720"/>
          <w:tab w:val="num" w:pos="540"/>
        </w:tabs>
        <w:autoSpaceDE w:val="0"/>
        <w:autoSpaceDN w:val="0"/>
        <w:adjustRightInd w:val="0"/>
        <w:spacing w:before="120" w:after="120"/>
        <w:ind w:left="539" w:hanging="539"/>
        <w:jc w:val="both"/>
        <w:rPr>
          <w:sz w:val="22"/>
          <w:szCs w:val="22"/>
          <w:lang w:val="en-GB"/>
        </w:rPr>
      </w:pPr>
      <w:r w:rsidRPr="00976287">
        <w:rPr>
          <w:sz w:val="22"/>
          <w:szCs w:val="22"/>
          <w:lang w:val="en-GB"/>
        </w:rPr>
        <w:t xml:space="preserve">The legal framework of </w:t>
      </w:r>
      <w:r w:rsidR="0012042E" w:rsidRPr="00976287">
        <w:rPr>
          <w:sz w:val="22"/>
          <w:szCs w:val="22"/>
          <w:lang w:val="en-GB"/>
        </w:rPr>
        <w:t>the 10</w:t>
      </w:r>
      <w:r w:rsidR="0012042E" w:rsidRPr="00976287">
        <w:rPr>
          <w:sz w:val="22"/>
          <w:szCs w:val="22"/>
          <w:vertAlign w:val="superscript"/>
          <w:lang w:val="en-GB"/>
        </w:rPr>
        <w:t>th</w:t>
      </w:r>
      <w:r w:rsidR="0012042E" w:rsidRPr="00976287">
        <w:rPr>
          <w:sz w:val="22"/>
          <w:szCs w:val="22"/>
          <w:lang w:val="en-GB"/>
        </w:rPr>
        <w:t xml:space="preserve"> EDF,</w:t>
      </w:r>
      <w:r w:rsidR="00F02E7F" w:rsidRPr="00976287">
        <w:rPr>
          <w:sz w:val="22"/>
          <w:szCs w:val="22"/>
          <w:lang w:val="en-GB"/>
        </w:rPr>
        <w:t xml:space="preserve"> </w:t>
      </w:r>
      <w:r w:rsidR="0012042E" w:rsidRPr="00976287">
        <w:rPr>
          <w:sz w:val="22"/>
          <w:szCs w:val="22"/>
          <w:lang w:val="en-GB"/>
        </w:rPr>
        <w:t>is the following:</w:t>
      </w:r>
      <w:r w:rsidR="00F02E7F" w:rsidRPr="00976287">
        <w:rPr>
          <w:sz w:val="22"/>
          <w:szCs w:val="22"/>
          <w:lang w:val="en-GB"/>
        </w:rPr>
        <w:t xml:space="preserve"> </w:t>
      </w:r>
    </w:p>
    <w:p w:rsidR="0012042E" w:rsidRPr="00976287" w:rsidRDefault="0012042E" w:rsidP="00776F45">
      <w:pPr>
        <w:autoSpaceDE w:val="0"/>
        <w:autoSpaceDN w:val="0"/>
        <w:adjustRightInd w:val="0"/>
        <w:spacing w:after="60"/>
        <w:ind w:left="993" w:hanging="284"/>
        <w:jc w:val="both"/>
        <w:rPr>
          <w:sz w:val="22"/>
          <w:szCs w:val="22"/>
          <w:lang w:val="en-GB"/>
        </w:rPr>
      </w:pPr>
      <w:r w:rsidRPr="00976287">
        <w:rPr>
          <w:sz w:val="22"/>
          <w:szCs w:val="22"/>
          <w:lang w:val="en-GB"/>
        </w:rPr>
        <w:t>-</w:t>
      </w:r>
      <w:r w:rsidR="00830BA8" w:rsidRPr="00976287">
        <w:rPr>
          <w:sz w:val="22"/>
          <w:szCs w:val="22"/>
          <w:lang w:val="en-GB"/>
        </w:rPr>
        <w:t xml:space="preserve"> </w:t>
      </w:r>
      <w:r w:rsidR="00C1621D" w:rsidRPr="00976287">
        <w:rPr>
          <w:sz w:val="22"/>
          <w:szCs w:val="22"/>
          <w:lang w:val="en-GB"/>
        </w:rPr>
        <w:tab/>
      </w:r>
      <w:r w:rsidRPr="00976287">
        <w:rPr>
          <w:sz w:val="22"/>
          <w:szCs w:val="22"/>
          <w:lang w:val="en-GB"/>
        </w:rPr>
        <w:t>the Internal Agreement with respect to the financial framework applicable for the period 2008 – 2013 (OJ L 247/32 of 09.09.2006);</w:t>
      </w:r>
    </w:p>
    <w:p w:rsidR="00830BA8" w:rsidRPr="00976287" w:rsidRDefault="0012042E" w:rsidP="00776F45">
      <w:pPr>
        <w:autoSpaceDE w:val="0"/>
        <w:autoSpaceDN w:val="0"/>
        <w:adjustRightInd w:val="0"/>
        <w:spacing w:after="60"/>
        <w:ind w:left="993" w:hanging="284"/>
        <w:jc w:val="both"/>
        <w:rPr>
          <w:sz w:val="22"/>
          <w:szCs w:val="22"/>
          <w:lang w:val="en-GB"/>
        </w:rPr>
      </w:pPr>
      <w:r w:rsidRPr="00976287">
        <w:rPr>
          <w:sz w:val="22"/>
          <w:szCs w:val="22"/>
          <w:lang w:val="en-GB"/>
        </w:rPr>
        <w:t>-</w:t>
      </w:r>
      <w:r w:rsidR="00C1621D" w:rsidRPr="00976287">
        <w:rPr>
          <w:sz w:val="22"/>
          <w:szCs w:val="22"/>
          <w:lang w:val="en-GB"/>
        </w:rPr>
        <w:tab/>
      </w:r>
      <w:r w:rsidRPr="00976287">
        <w:rPr>
          <w:sz w:val="22"/>
          <w:szCs w:val="22"/>
          <w:lang w:val="en-GB"/>
        </w:rPr>
        <w:t>the Council Regulation (EC)617/2007 of 14</w:t>
      </w:r>
      <w:r w:rsidRPr="00976287">
        <w:rPr>
          <w:sz w:val="22"/>
          <w:szCs w:val="22"/>
          <w:vertAlign w:val="superscript"/>
          <w:lang w:val="en-GB"/>
        </w:rPr>
        <w:t>th</w:t>
      </w:r>
      <w:r w:rsidRPr="00976287">
        <w:rPr>
          <w:sz w:val="22"/>
          <w:szCs w:val="22"/>
          <w:lang w:val="en-GB"/>
        </w:rPr>
        <w:t xml:space="preserve"> of May 2007 on the implementation of the 10</w:t>
      </w:r>
      <w:r w:rsidRPr="00976287">
        <w:rPr>
          <w:sz w:val="22"/>
          <w:szCs w:val="22"/>
          <w:vertAlign w:val="superscript"/>
          <w:lang w:val="en-GB"/>
        </w:rPr>
        <w:t>th</w:t>
      </w:r>
      <w:r w:rsidR="00776F45">
        <w:rPr>
          <w:sz w:val="22"/>
          <w:szCs w:val="22"/>
          <w:vertAlign w:val="superscript"/>
          <w:lang w:val="en-GB"/>
        </w:rPr>
        <w:t> </w:t>
      </w:r>
      <w:r w:rsidRPr="00976287">
        <w:rPr>
          <w:sz w:val="22"/>
          <w:szCs w:val="22"/>
          <w:lang w:val="en-GB"/>
        </w:rPr>
        <w:t>EDF under the ACP-CE Partnership Agreement (OJ L 152/1 of 13.06.2007)</w:t>
      </w:r>
    </w:p>
    <w:p w:rsidR="00475D6B" w:rsidRPr="00976287" w:rsidRDefault="00517B53" w:rsidP="00776F45">
      <w:pPr>
        <w:autoSpaceDE w:val="0"/>
        <w:autoSpaceDN w:val="0"/>
        <w:adjustRightInd w:val="0"/>
        <w:spacing w:after="60"/>
        <w:ind w:left="993" w:hanging="284"/>
        <w:jc w:val="both"/>
        <w:rPr>
          <w:sz w:val="22"/>
          <w:szCs w:val="22"/>
          <w:lang w:val="en-GB"/>
        </w:rPr>
      </w:pPr>
      <w:r w:rsidRPr="00976287">
        <w:rPr>
          <w:sz w:val="22"/>
          <w:szCs w:val="22"/>
          <w:lang w:val="en-GB"/>
        </w:rPr>
        <w:t>-</w:t>
      </w:r>
      <w:r w:rsidR="00C1621D" w:rsidRPr="00976287">
        <w:rPr>
          <w:sz w:val="22"/>
          <w:szCs w:val="22"/>
          <w:lang w:val="en-GB"/>
        </w:rPr>
        <w:tab/>
      </w:r>
      <w:r w:rsidRPr="00976287">
        <w:rPr>
          <w:sz w:val="22"/>
          <w:szCs w:val="22"/>
          <w:lang w:val="en-GB"/>
        </w:rPr>
        <w:t>the Financial Regulation applicable to the 10</w:t>
      </w:r>
      <w:r w:rsidRPr="00976287">
        <w:rPr>
          <w:sz w:val="22"/>
          <w:szCs w:val="22"/>
          <w:vertAlign w:val="superscript"/>
          <w:lang w:val="en-GB"/>
        </w:rPr>
        <w:t>th</w:t>
      </w:r>
      <w:r w:rsidRPr="00976287">
        <w:rPr>
          <w:sz w:val="22"/>
          <w:szCs w:val="22"/>
          <w:lang w:val="en-GB"/>
        </w:rPr>
        <w:t xml:space="preserve"> E</w:t>
      </w:r>
      <w:bookmarkStart w:id="0" w:name="_GoBack"/>
      <w:bookmarkEnd w:id="0"/>
      <w:r w:rsidRPr="00976287">
        <w:rPr>
          <w:sz w:val="22"/>
          <w:szCs w:val="22"/>
          <w:lang w:val="en-GB"/>
        </w:rPr>
        <w:t>DF, adopted by the Council Regulation no.</w:t>
      </w:r>
      <w:r w:rsidR="00776F45">
        <w:rPr>
          <w:sz w:val="22"/>
          <w:szCs w:val="22"/>
          <w:lang w:val="en-GB"/>
        </w:rPr>
        <w:t> </w:t>
      </w:r>
      <w:r w:rsidRPr="00976287">
        <w:rPr>
          <w:sz w:val="22"/>
          <w:szCs w:val="22"/>
          <w:lang w:val="en-GB"/>
        </w:rPr>
        <w:t>215/2008 (OJ L78 of 19</w:t>
      </w:r>
      <w:r w:rsidRPr="00976287">
        <w:rPr>
          <w:sz w:val="22"/>
          <w:szCs w:val="22"/>
          <w:vertAlign w:val="superscript"/>
          <w:lang w:val="en-GB"/>
        </w:rPr>
        <w:t>th</w:t>
      </w:r>
      <w:r w:rsidRPr="00976287">
        <w:rPr>
          <w:sz w:val="22"/>
          <w:szCs w:val="22"/>
          <w:lang w:val="en-GB"/>
        </w:rPr>
        <w:t xml:space="preserve"> of March, 2008)</w:t>
      </w:r>
      <w:r w:rsidR="00C1621D" w:rsidRPr="00976287">
        <w:rPr>
          <w:sz w:val="22"/>
          <w:szCs w:val="22"/>
          <w:lang w:val="en-GB"/>
        </w:rPr>
        <w:t>.</w:t>
      </w:r>
    </w:p>
    <w:p w:rsidR="00170571" w:rsidRPr="00F02E7F" w:rsidRDefault="00F02E7F" w:rsidP="00976287">
      <w:pPr>
        <w:tabs>
          <w:tab w:val="left" w:pos="1701"/>
        </w:tabs>
        <w:spacing w:before="120" w:after="120"/>
        <w:jc w:val="both"/>
        <w:rPr>
          <w:b/>
          <w:szCs w:val="24"/>
          <w:lang w:val="en-GB"/>
        </w:rPr>
      </w:pPr>
      <w:r>
        <w:rPr>
          <w:sz w:val="28"/>
          <w:szCs w:val="28"/>
          <w:lang w:val="en-GB"/>
        </w:rPr>
        <w:br w:type="page"/>
      </w:r>
      <w:r w:rsidR="00170571" w:rsidRPr="00F02E7F">
        <w:rPr>
          <w:b/>
          <w:szCs w:val="24"/>
          <w:lang w:val="en-GB"/>
        </w:rPr>
        <w:lastRenderedPageBreak/>
        <w:t xml:space="preserve">Instruments for external actions </w:t>
      </w:r>
      <w:r w:rsidR="00301863" w:rsidRPr="00F02E7F">
        <w:rPr>
          <w:b/>
          <w:szCs w:val="24"/>
          <w:lang w:val="en-GB"/>
        </w:rPr>
        <w:t xml:space="preserve">which came into force </w:t>
      </w:r>
      <w:r w:rsidR="00170571" w:rsidRPr="00F02E7F">
        <w:rPr>
          <w:b/>
          <w:szCs w:val="24"/>
          <w:lang w:val="en-GB"/>
        </w:rPr>
        <w:t>before 2007:</w:t>
      </w:r>
    </w:p>
    <w:p w:rsidR="000049C8" w:rsidRDefault="00170571" w:rsidP="00976287">
      <w:pPr>
        <w:tabs>
          <w:tab w:val="left" w:pos="1701"/>
        </w:tabs>
        <w:spacing w:before="120" w:after="120"/>
        <w:jc w:val="both"/>
        <w:rPr>
          <w:sz w:val="22"/>
          <w:szCs w:val="22"/>
          <w:lang w:val="en-GB"/>
        </w:rPr>
      </w:pPr>
      <w:r w:rsidRPr="00860034">
        <w:rPr>
          <w:sz w:val="22"/>
          <w:szCs w:val="22"/>
          <w:lang w:val="en-GB"/>
        </w:rPr>
        <w:t xml:space="preserve">The European Community adopted regulations on the access to EC external assistance </w:t>
      </w:r>
      <w:r w:rsidR="00301863">
        <w:rPr>
          <w:sz w:val="22"/>
          <w:szCs w:val="22"/>
          <w:lang w:val="en-GB"/>
        </w:rPr>
        <w:t>that established an unprecedented level of untying for actions</w:t>
      </w:r>
      <w:r w:rsidRPr="00860034">
        <w:rPr>
          <w:sz w:val="22"/>
          <w:szCs w:val="22"/>
          <w:lang w:val="en-GB"/>
        </w:rPr>
        <w:t xml:space="preserve"> financed from the general budget. Those regulations entered into force on 28.12.2005 and modified the instruments with a thematic and geographical scope (see thematic fiche </w:t>
      </w:r>
      <w:r w:rsidR="00860034">
        <w:rPr>
          <w:sz w:val="22"/>
          <w:szCs w:val="22"/>
          <w:lang w:val="en-GB"/>
        </w:rPr>
        <w:t>in</w:t>
      </w:r>
      <w:r w:rsidRPr="00860034">
        <w:rPr>
          <w:sz w:val="22"/>
          <w:szCs w:val="22"/>
          <w:lang w:val="en-GB"/>
        </w:rPr>
        <w:t xml:space="preserve"> archive)</w:t>
      </w:r>
      <w:r w:rsidR="00860034">
        <w:rPr>
          <w:sz w:val="22"/>
          <w:szCs w:val="22"/>
          <w:lang w:val="en-GB"/>
        </w:rPr>
        <w:t>.</w:t>
      </w:r>
    </w:p>
    <w:p w:rsidR="00860034" w:rsidRPr="003735CB" w:rsidRDefault="00860034" w:rsidP="00976287">
      <w:pPr>
        <w:keepNext/>
        <w:keepLines/>
        <w:tabs>
          <w:tab w:val="left" w:pos="1701"/>
        </w:tabs>
        <w:spacing w:before="120" w:after="120"/>
        <w:jc w:val="both"/>
        <w:rPr>
          <w:b/>
          <w:i/>
          <w:sz w:val="22"/>
          <w:szCs w:val="22"/>
          <w:lang w:val="en-GB"/>
        </w:rPr>
      </w:pPr>
      <w:r w:rsidRPr="003735CB">
        <w:rPr>
          <w:b/>
          <w:i/>
          <w:sz w:val="22"/>
          <w:szCs w:val="22"/>
          <w:lang w:val="en-GB"/>
        </w:rPr>
        <w:t>Untying regulations:</w:t>
      </w:r>
    </w:p>
    <w:p w:rsidR="00F02E7F" w:rsidRPr="00976287" w:rsidRDefault="00170571" w:rsidP="00976287">
      <w:pPr>
        <w:numPr>
          <w:ilvl w:val="0"/>
          <w:numId w:val="7"/>
        </w:numPr>
        <w:spacing w:before="120" w:after="120"/>
        <w:ind w:left="714" w:hanging="357"/>
        <w:rPr>
          <w:sz w:val="22"/>
          <w:szCs w:val="22"/>
          <w:lang w:val="en-GB"/>
        </w:rPr>
      </w:pPr>
      <w:r w:rsidRPr="00976287">
        <w:rPr>
          <w:bCs/>
          <w:sz w:val="22"/>
          <w:szCs w:val="22"/>
          <w:lang w:val="en-GB"/>
        </w:rPr>
        <w:t>Regulation (EC) No 2110/2005 of the European Parliament and of the Council of 14 December 2005 on access to Community external assistance</w:t>
      </w:r>
      <w:r w:rsidR="00C1621D" w:rsidRPr="00976287">
        <w:rPr>
          <w:bCs/>
          <w:sz w:val="22"/>
          <w:szCs w:val="22"/>
          <w:lang w:val="en-GB"/>
        </w:rPr>
        <w:t>.</w:t>
      </w:r>
    </w:p>
    <w:p w:rsidR="00860034" w:rsidRPr="00976287" w:rsidRDefault="00860034" w:rsidP="00976287">
      <w:pPr>
        <w:numPr>
          <w:ilvl w:val="0"/>
          <w:numId w:val="7"/>
        </w:numPr>
        <w:spacing w:before="120" w:after="120"/>
        <w:rPr>
          <w:sz w:val="22"/>
          <w:szCs w:val="22"/>
          <w:lang w:val="en-GB"/>
        </w:rPr>
      </w:pPr>
      <w:r w:rsidRPr="00976287">
        <w:rPr>
          <w:bCs/>
          <w:sz w:val="22"/>
          <w:szCs w:val="22"/>
          <w:lang w:val="en-GB"/>
        </w:rPr>
        <w:t>Council Regulation (EC) No 2112/2005 of 21 November 2005 on access to Community external assistance</w:t>
      </w:r>
      <w:r w:rsidR="00C1621D" w:rsidRPr="00976287">
        <w:rPr>
          <w:bCs/>
          <w:sz w:val="22"/>
          <w:szCs w:val="22"/>
          <w:lang w:val="en-GB"/>
        </w:rPr>
        <w:t>.</w:t>
      </w:r>
    </w:p>
    <w:p w:rsidR="0031151B" w:rsidRPr="00976287" w:rsidRDefault="008B14F4" w:rsidP="00976287">
      <w:pPr>
        <w:tabs>
          <w:tab w:val="left" w:pos="1701"/>
        </w:tabs>
        <w:spacing w:before="120" w:after="120"/>
        <w:jc w:val="both"/>
        <w:rPr>
          <w:sz w:val="22"/>
          <w:szCs w:val="22"/>
          <w:lang w:val="en-GB"/>
        </w:rPr>
      </w:pPr>
      <w:r w:rsidRPr="00976287">
        <w:rPr>
          <w:sz w:val="22"/>
          <w:szCs w:val="22"/>
          <w:u w:val="single"/>
          <w:lang w:val="en-GB"/>
        </w:rPr>
        <w:t>Community instruments with thematic scope</w:t>
      </w:r>
    </w:p>
    <w:p w:rsidR="0031151B" w:rsidRPr="00976287" w:rsidRDefault="00776F45" w:rsidP="00976287">
      <w:pPr>
        <w:tabs>
          <w:tab w:val="left" w:pos="993"/>
        </w:tabs>
        <w:spacing w:before="120" w:after="120"/>
        <w:ind w:left="993" w:hanging="993"/>
        <w:jc w:val="both"/>
        <w:rPr>
          <w:sz w:val="22"/>
          <w:szCs w:val="22"/>
          <w:lang w:val="en-GB"/>
        </w:rPr>
      </w:pPr>
      <w:r>
        <w:rPr>
          <w:sz w:val="22"/>
          <w:szCs w:val="22"/>
          <w:lang w:val="en-GB"/>
        </w:rPr>
        <w:t>(1)</w:t>
      </w:r>
      <w:r w:rsidR="0031151B" w:rsidRPr="00976287">
        <w:rPr>
          <w:sz w:val="22"/>
          <w:szCs w:val="22"/>
          <w:lang w:val="en-GB"/>
        </w:rPr>
        <w:tab/>
      </w:r>
      <w:r w:rsidR="008B14F4" w:rsidRPr="00976287">
        <w:rPr>
          <w:sz w:val="22"/>
          <w:szCs w:val="22"/>
          <w:lang w:val="en-GB"/>
        </w:rPr>
        <w:t>Regulation (EC) No 1568/2003 of the European Parliament and of the Council of 15 July 2003 on aid to fight poverty diseases (HIV/AIDS, tuberculosis and malaria) in developing countries</w:t>
      </w:r>
      <w:r w:rsidR="008B14F4" w:rsidRPr="00976287">
        <w:rPr>
          <w:rStyle w:val="FootnoteReference"/>
          <w:sz w:val="22"/>
          <w:szCs w:val="22"/>
        </w:rPr>
        <w:footnoteReference w:id="2"/>
      </w:r>
      <w:r w:rsidR="008B14F4" w:rsidRPr="00976287">
        <w:rPr>
          <w:sz w:val="22"/>
          <w:szCs w:val="22"/>
          <w:lang w:val="en-GB"/>
        </w:rPr>
        <w:t>, modified by Regulation of the European Parliament and of the Council on access to Community external assistance</w:t>
      </w:r>
      <w:r w:rsidR="0031151B" w:rsidRPr="00976287">
        <w:rPr>
          <w:sz w:val="22"/>
          <w:szCs w:val="22"/>
          <w:lang w:val="en-GB"/>
        </w:rPr>
        <w:t>.</w:t>
      </w:r>
    </w:p>
    <w:p w:rsidR="0031151B" w:rsidRPr="00976287" w:rsidRDefault="008B14F4" w:rsidP="00976287">
      <w:pPr>
        <w:tabs>
          <w:tab w:val="left" w:pos="993"/>
        </w:tabs>
        <w:spacing w:before="120" w:after="120"/>
        <w:ind w:left="993" w:hanging="993"/>
        <w:jc w:val="both"/>
        <w:rPr>
          <w:sz w:val="22"/>
          <w:szCs w:val="22"/>
          <w:lang w:val="en-GB"/>
        </w:rPr>
      </w:pPr>
      <w:r w:rsidRPr="00976287">
        <w:rPr>
          <w:sz w:val="22"/>
          <w:szCs w:val="22"/>
          <w:lang w:val="en-GB"/>
        </w:rPr>
        <w:t>(2)</w:t>
      </w:r>
      <w:r w:rsidRPr="00976287">
        <w:rPr>
          <w:sz w:val="22"/>
          <w:szCs w:val="22"/>
          <w:lang w:val="en-GB"/>
        </w:rPr>
        <w:tab/>
        <w:t>Regulation (EC) No 1567/2003 of the European Parliament and of the Council of 15 July 2003 on aid for policies and actions on reproductive and sexual health and rights in developing countries</w:t>
      </w:r>
      <w:r w:rsidRPr="00976287">
        <w:rPr>
          <w:rStyle w:val="FootnoteReference"/>
          <w:color w:val="000000"/>
          <w:sz w:val="22"/>
          <w:szCs w:val="22"/>
        </w:rPr>
        <w:footnoteReference w:id="3"/>
      </w:r>
      <w:r w:rsidR="0031151B" w:rsidRPr="00976287">
        <w:rPr>
          <w:sz w:val="22"/>
          <w:szCs w:val="22"/>
          <w:lang w:val="en-GB"/>
        </w:rPr>
        <w:t>, modified by Regulation of the European Parliament and of the Council on access to Community external assistance.</w:t>
      </w:r>
    </w:p>
    <w:p w:rsidR="0031151B" w:rsidRPr="00976287" w:rsidRDefault="008B14F4" w:rsidP="00976287">
      <w:pPr>
        <w:tabs>
          <w:tab w:val="left" w:pos="993"/>
        </w:tabs>
        <w:spacing w:before="120" w:after="120"/>
        <w:ind w:left="993" w:hanging="993"/>
        <w:jc w:val="both"/>
        <w:rPr>
          <w:sz w:val="22"/>
          <w:szCs w:val="22"/>
          <w:lang w:val="en-GB"/>
        </w:rPr>
      </w:pPr>
      <w:r w:rsidRPr="00976287">
        <w:rPr>
          <w:sz w:val="22"/>
          <w:szCs w:val="22"/>
          <w:lang w:val="en-GB"/>
        </w:rPr>
        <w:t>(3)</w:t>
      </w:r>
      <w:r w:rsidRPr="00976287">
        <w:rPr>
          <w:sz w:val="22"/>
          <w:szCs w:val="22"/>
          <w:lang w:val="en-GB"/>
        </w:rPr>
        <w:tab/>
        <w:t>Regulation (EC) No 1724/2001 of the European Parliament and of the Council of 23 July 2001 concerning action against anti</w:t>
      </w:r>
      <w:r w:rsidRPr="00976287">
        <w:rPr>
          <w:sz w:val="22"/>
          <w:szCs w:val="22"/>
          <w:lang w:val="en-GB"/>
        </w:rPr>
        <w:noBreakHyphen/>
        <w:t>personnel landmines in developing countries</w:t>
      </w:r>
      <w:r w:rsidRPr="00976287">
        <w:rPr>
          <w:rStyle w:val="FootnoteReference"/>
          <w:color w:val="000000"/>
          <w:sz w:val="22"/>
          <w:szCs w:val="22"/>
        </w:rPr>
        <w:footnoteReference w:id="4"/>
      </w:r>
      <w:r w:rsidR="0031151B" w:rsidRPr="00976287">
        <w:rPr>
          <w:sz w:val="22"/>
          <w:szCs w:val="22"/>
          <w:lang w:val="en-GB"/>
        </w:rPr>
        <w:t>, modified by Regulation of the European Parliament and of the Council on access to Community external assistance.</w:t>
      </w:r>
    </w:p>
    <w:p w:rsidR="0031151B" w:rsidRPr="00976287" w:rsidRDefault="008B14F4" w:rsidP="00976287">
      <w:pPr>
        <w:tabs>
          <w:tab w:val="left" w:pos="993"/>
        </w:tabs>
        <w:spacing w:before="120" w:after="120"/>
        <w:ind w:left="993" w:hanging="993"/>
        <w:jc w:val="both"/>
        <w:rPr>
          <w:sz w:val="22"/>
          <w:szCs w:val="22"/>
          <w:lang w:val="en-GB"/>
        </w:rPr>
      </w:pPr>
      <w:r w:rsidRPr="00976287">
        <w:rPr>
          <w:sz w:val="22"/>
          <w:szCs w:val="22"/>
          <w:lang w:val="en-GB"/>
        </w:rPr>
        <w:t>(4)</w:t>
      </w:r>
      <w:r w:rsidRPr="00976287">
        <w:rPr>
          <w:sz w:val="22"/>
          <w:szCs w:val="22"/>
          <w:lang w:val="en-GB"/>
        </w:rPr>
        <w:tab/>
      </w:r>
      <w:r w:rsidRPr="00976287">
        <w:rPr>
          <w:bCs/>
          <w:sz w:val="22"/>
          <w:szCs w:val="22"/>
          <w:lang w:val="en-GB"/>
        </w:rPr>
        <w:t>Regulation</w:t>
      </w:r>
      <w:r w:rsidRPr="00976287">
        <w:rPr>
          <w:sz w:val="22"/>
          <w:szCs w:val="22"/>
          <w:lang w:val="en-GB"/>
        </w:rPr>
        <w:t> (EC) No 2493/2000 of the European Parliament and of the Council of 7 November 2000 on measures to promote the full integration of the environmental dimension in the development process of developing countries</w:t>
      </w:r>
      <w:r w:rsidRPr="00976287">
        <w:rPr>
          <w:rStyle w:val="FootnoteReference"/>
          <w:color w:val="000000"/>
          <w:sz w:val="22"/>
          <w:szCs w:val="22"/>
        </w:rPr>
        <w:footnoteReference w:id="5"/>
      </w:r>
      <w:r w:rsidR="0031151B" w:rsidRPr="00976287">
        <w:rPr>
          <w:sz w:val="22"/>
          <w:szCs w:val="22"/>
          <w:lang w:val="en-GB"/>
        </w:rPr>
        <w:t>, modified by Regulation of the European Parliament and of the Council on access to Community external assistance.</w:t>
      </w:r>
    </w:p>
    <w:p w:rsidR="00F02E7F" w:rsidRPr="00976287" w:rsidRDefault="008B14F4" w:rsidP="00976287">
      <w:pPr>
        <w:tabs>
          <w:tab w:val="left" w:pos="993"/>
        </w:tabs>
        <w:spacing w:before="120" w:after="120"/>
        <w:ind w:left="993" w:hanging="993"/>
        <w:jc w:val="both"/>
        <w:rPr>
          <w:sz w:val="22"/>
          <w:szCs w:val="22"/>
          <w:lang w:val="en-GB"/>
        </w:rPr>
      </w:pPr>
      <w:r w:rsidRPr="00976287">
        <w:rPr>
          <w:sz w:val="22"/>
          <w:szCs w:val="22"/>
          <w:lang w:val="en-GB"/>
        </w:rPr>
        <w:t>(5)</w:t>
      </w:r>
      <w:r w:rsidRPr="00976287">
        <w:rPr>
          <w:sz w:val="22"/>
          <w:szCs w:val="22"/>
          <w:lang w:val="en-GB"/>
        </w:rPr>
        <w:tab/>
        <w:t>Regulation (EC) No 2494/2000 of the European Parliament and of the Council of 7 </w:t>
      </w:r>
      <w:r w:rsidRPr="00976287">
        <w:rPr>
          <w:bCs/>
          <w:sz w:val="22"/>
          <w:szCs w:val="22"/>
          <w:lang w:val="en-GB"/>
        </w:rPr>
        <w:t>November</w:t>
      </w:r>
      <w:r w:rsidRPr="00976287">
        <w:rPr>
          <w:sz w:val="22"/>
          <w:szCs w:val="22"/>
          <w:lang w:val="en-GB"/>
        </w:rPr>
        <w:t xml:space="preserve"> 2000 on measures to promote the conservation and sustainable management of tropical forests and other forests in developing countries</w:t>
      </w:r>
      <w:r w:rsidRPr="00976287">
        <w:rPr>
          <w:rStyle w:val="FootnoteReference"/>
          <w:color w:val="000000"/>
          <w:sz w:val="22"/>
          <w:szCs w:val="22"/>
        </w:rPr>
        <w:footnoteReference w:id="6"/>
      </w:r>
      <w:r w:rsidR="0031151B" w:rsidRPr="00976287">
        <w:rPr>
          <w:sz w:val="22"/>
          <w:szCs w:val="22"/>
          <w:lang w:val="en-GB"/>
        </w:rPr>
        <w:t>, modified by Regulation of the European Parliament and of the Council on access to Community external assistance.</w:t>
      </w:r>
    </w:p>
    <w:p w:rsidR="000F384E" w:rsidRPr="00976287" w:rsidRDefault="008B14F4" w:rsidP="00976287">
      <w:pPr>
        <w:tabs>
          <w:tab w:val="left" w:pos="993"/>
        </w:tabs>
        <w:spacing w:before="120" w:after="120"/>
        <w:ind w:left="993" w:hanging="993"/>
        <w:jc w:val="both"/>
        <w:rPr>
          <w:sz w:val="22"/>
          <w:szCs w:val="22"/>
          <w:lang w:val="en-GB"/>
        </w:rPr>
      </w:pPr>
      <w:r w:rsidRPr="00976287">
        <w:rPr>
          <w:sz w:val="22"/>
          <w:szCs w:val="22"/>
          <w:lang w:val="en-GB"/>
        </w:rPr>
        <w:t>(6)</w:t>
      </w:r>
      <w:r w:rsidRPr="00976287">
        <w:rPr>
          <w:sz w:val="22"/>
          <w:szCs w:val="22"/>
          <w:lang w:val="en-GB"/>
        </w:rPr>
        <w:tab/>
        <w:t>Council Regulation (EC) No 975/1999 of 29 April 1999 laying down the requirements for the implementation of development cooperation operations which contribute to the general objective of developing and consolidating democracy and the rule of law and to that of respecting human rights and fundamental freedoms</w:t>
      </w:r>
      <w:r w:rsidRPr="00976287">
        <w:rPr>
          <w:sz w:val="22"/>
          <w:szCs w:val="22"/>
          <w:lang w:val="en-GB"/>
        </w:rPr>
        <w:footnoteReference w:id="7"/>
      </w:r>
      <w:r w:rsidR="0031151B" w:rsidRPr="00976287">
        <w:rPr>
          <w:sz w:val="22"/>
          <w:szCs w:val="22"/>
          <w:lang w:val="en-GB"/>
        </w:rPr>
        <w:t>, modified by Regulation of the European Parliament and of the Council on access to Community external assistance.</w:t>
      </w:r>
    </w:p>
    <w:p w:rsidR="008B14F4" w:rsidRPr="00976287" w:rsidRDefault="008B14F4" w:rsidP="00976287">
      <w:pPr>
        <w:tabs>
          <w:tab w:val="left" w:pos="993"/>
        </w:tabs>
        <w:spacing w:before="120" w:after="120"/>
        <w:ind w:left="992" w:hanging="992"/>
        <w:jc w:val="both"/>
        <w:rPr>
          <w:sz w:val="22"/>
          <w:szCs w:val="22"/>
          <w:lang w:val="en-GB"/>
        </w:rPr>
      </w:pPr>
      <w:r w:rsidRPr="00976287">
        <w:rPr>
          <w:sz w:val="22"/>
          <w:szCs w:val="22"/>
          <w:lang w:val="en-GB"/>
        </w:rPr>
        <w:lastRenderedPageBreak/>
        <w:t>(7)</w:t>
      </w:r>
      <w:r w:rsidRPr="00976287">
        <w:rPr>
          <w:sz w:val="22"/>
          <w:szCs w:val="22"/>
          <w:lang w:val="en-GB"/>
        </w:rPr>
        <w:tab/>
        <w:t>Council Regulation (EC) No 2836/98 of 22 December 1998 on integrating of gender issues in development cooperation</w:t>
      </w:r>
      <w:r w:rsidRPr="00976287">
        <w:rPr>
          <w:sz w:val="22"/>
          <w:szCs w:val="22"/>
          <w:lang w:val="en-GB"/>
        </w:rPr>
        <w:footnoteReference w:id="8"/>
      </w:r>
      <w:r w:rsidR="0031151B" w:rsidRPr="00976287">
        <w:rPr>
          <w:sz w:val="22"/>
          <w:szCs w:val="22"/>
          <w:lang w:val="en-GB"/>
        </w:rPr>
        <w:t>, modified by Regulation of the European Parliament and of the Council on access to Community external assistance.</w:t>
      </w:r>
    </w:p>
    <w:p w:rsidR="008B14F4" w:rsidRPr="00976287" w:rsidRDefault="008B14F4" w:rsidP="00976287">
      <w:pPr>
        <w:pStyle w:val="Point2"/>
        <w:tabs>
          <w:tab w:val="left" w:pos="993"/>
        </w:tabs>
        <w:spacing w:line="240" w:lineRule="auto"/>
        <w:ind w:left="992" w:hanging="992"/>
        <w:jc w:val="both"/>
        <w:rPr>
          <w:sz w:val="22"/>
          <w:szCs w:val="22"/>
          <w:lang w:eastAsia="en-GB"/>
        </w:rPr>
      </w:pPr>
      <w:r w:rsidRPr="00976287">
        <w:rPr>
          <w:sz w:val="22"/>
          <w:szCs w:val="22"/>
          <w:lang w:eastAsia="en-GB"/>
        </w:rPr>
        <w:t>(8)</w:t>
      </w:r>
      <w:r w:rsidRPr="00976287">
        <w:rPr>
          <w:sz w:val="22"/>
          <w:szCs w:val="22"/>
          <w:lang w:eastAsia="en-GB"/>
        </w:rPr>
        <w:tab/>
        <w:t>Council Regulation (EC) No 1658/98 of 17 July 1998 on co</w:t>
      </w:r>
      <w:r w:rsidRPr="00976287">
        <w:rPr>
          <w:sz w:val="22"/>
          <w:szCs w:val="22"/>
          <w:lang w:eastAsia="en-GB"/>
        </w:rPr>
        <w:noBreakHyphen/>
        <w:t>financing operations with European non</w:t>
      </w:r>
      <w:r w:rsidRPr="00976287">
        <w:rPr>
          <w:sz w:val="22"/>
          <w:szCs w:val="22"/>
          <w:lang w:eastAsia="en-GB"/>
        </w:rPr>
        <w:noBreakHyphen/>
        <w:t>governmental development organisations (NGOs) in fields of interest to the developing countries</w:t>
      </w:r>
      <w:r w:rsidRPr="00976287">
        <w:rPr>
          <w:sz w:val="22"/>
          <w:szCs w:val="22"/>
          <w:lang w:eastAsia="en-GB"/>
        </w:rPr>
        <w:footnoteReference w:id="9"/>
      </w:r>
      <w:r w:rsidR="0031151B" w:rsidRPr="00976287">
        <w:rPr>
          <w:sz w:val="22"/>
          <w:szCs w:val="22"/>
          <w:lang w:eastAsia="en-GB"/>
        </w:rPr>
        <w:t>, modified by Regulation of the European Parliament and of the Council on access to Community external assistance.</w:t>
      </w:r>
    </w:p>
    <w:p w:rsidR="0031151B" w:rsidRPr="00976287" w:rsidRDefault="008B14F4" w:rsidP="00976287">
      <w:pPr>
        <w:pStyle w:val="Point2"/>
        <w:tabs>
          <w:tab w:val="left" w:pos="993"/>
        </w:tabs>
        <w:spacing w:line="240" w:lineRule="auto"/>
        <w:ind w:left="992" w:hanging="992"/>
        <w:jc w:val="both"/>
        <w:rPr>
          <w:sz w:val="22"/>
          <w:szCs w:val="22"/>
          <w:lang w:eastAsia="en-GB"/>
        </w:rPr>
      </w:pPr>
      <w:r w:rsidRPr="00976287">
        <w:rPr>
          <w:sz w:val="22"/>
          <w:szCs w:val="22"/>
          <w:lang w:eastAsia="en-GB"/>
        </w:rPr>
        <w:t>(9)</w:t>
      </w:r>
      <w:r w:rsidRPr="00976287">
        <w:rPr>
          <w:sz w:val="22"/>
          <w:szCs w:val="22"/>
          <w:lang w:eastAsia="en-GB"/>
        </w:rPr>
        <w:tab/>
        <w:t>Council Regulation (EC) No 2046/97 of 13 October 1997 on north</w:t>
      </w:r>
      <w:r w:rsidRPr="00976287">
        <w:rPr>
          <w:sz w:val="22"/>
          <w:szCs w:val="22"/>
          <w:lang w:eastAsia="en-GB"/>
        </w:rPr>
        <w:noBreakHyphen/>
        <w:t>south cooperation in the campaign against drugs and drug addiction</w:t>
      </w:r>
      <w:r w:rsidRPr="00976287">
        <w:rPr>
          <w:sz w:val="22"/>
          <w:szCs w:val="22"/>
          <w:lang w:eastAsia="en-GB"/>
        </w:rPr>
        <w:footnoteReference w:id="10"/>
      </w:r>
      <w:r w:rsidR="0031151B" w:rsidRPr="00976287">
        <w:rPr>
          <w:sz w:val="22"/>
          <w:szCs w:val="22"/>
          <w:lang w:eastAsia="en-GB"/>
        </w:rPr>
        <w:t>, modified by Regulation of the European Parliament and of the Council on access to Community external assistance.</w:t>
      </w:r>
    </w:p>
    <w:p w:rsidR="0031151B" w:rsidRPr="00976287" w:rsidRDefault="008B14F4" w:rsidP="00976287">
      <w:pPr>
        <w:pStyle w:val="Point2"/>
        <w:tabs>
          <w:tab w:val="left" w:pos="993"/>
        </w:tabs>
        <w:spacing w:line="240" w:lineRule="auto"/>
        <w:ind w:left="992" w:hanging="992"/>
        <w:jc w:val="both"/>
        <w:rPr>
          <w:sz w:val="22"/>
          <w:szCs w:val="22"/>
          <w:lang w:eastAsia="en-GB"/>
        </w:rPr>
      </w:pPr>
      <w:r w:rsidRPr="00976287">
        <w:rPr>
          <w:sz w:val="22"/>
          <w:szCs w:val="22"/>
          <w:lang w:eastAsia="en-GB"/>
        </w:rPr>
        <w:t>(10)</w:t>
      </w:r>
      <w:r w:rsidRPr="00976287">
        <w:rPr>
          <w:sz w:val="22"/>
          <w:szCs w:val="22"/>
          <w:lang w:eastAsia="en-GB"/>
        </w:rPr>
        <w:tab/>
        <w:t>Council Regulation (EC) No 2258/96 of 22 November 1996 on rehabilitation and reconstruction operations in developing countries</w:t>
      </w:r>
      <w:r w:rsidRPr="00976287">
        <w:rPr>
          <w:sz w:val="22"/>
          <w:szCs w:val="22"/>
          <w:lang w:eastAsia="en-GB"/>
        </w:rPr>
        <w:footnoteReference w:id="11"/>
      </w:r>
      <w:r w:rsidR="0031151B" w:rsidRPr="00976287">
        <w:rPr>
          <w:sz w:val="22"/>
          <w:szCs w:val="22"/>
          <w:lang w:eastAsia="en-GB"/>
        </w:rPr>
        <w:t>, modified by Regulation of the European Parliament and of the Council on access to Community external assistance.</w:t>
      </w:r>
    </w:p>
    <w:p w:rsidR="00500F0C" w:rsidRPr="00976287" w:rsidRDefault="008B14F4" w:rsidP="00976287">
      <w:pPr>
        <w:pStyle w:val="Point2"/>
        <w:tabs>
          <w:tab w:val="left" w:pos="993"/>
        </w:tabs>
        <w:spacing w:line="240" w:lineRule="auto"/>
        <w:ind w:left="992" w:hanging="992"/>
        <w:jc w:val="both"/>
        <w:rPr>
          <w:sz w:val="22"/>
          <w:szCs w:val="22"/>
          <w:lang w:eastAsia="en-GB"/>
        </w:rPr>
      </w:pPr>
      <w:r w:rsidRPr="00976287">
        <w:rPr>
          <w:sz w:val="22"/>
          <w:szCs w:val="22"/>
          <w:lang w:eastAsia="en-GB"/>
        </w:rPr>
        <w:t>(11)</w:t>
      </w:r>
      <w:r w:rsidRPr="00976287">
        <w:rPr>
          <w:sz w:val="22"/>
          <w:szCs w:val="22"/>
          <w:lang w:eastAsia="en-GB"/>
        </w:rPr>
        <w:tab/>
        <w:t>Council Regulation (EC) No 1292/96 of 27 June 1996 on food</w:t>
      </w:r>
      <w:r w:rsidRPr="00976287">
        <w:rPr>
          <w:sz w:val="22"/>
          <w:szCs w:val="22"/>
          <w:lang w:eastAsia="en-GB"/>
        </w:rPr>
        <w:noBreakHyphen/>
        <w:t>aid policy and food</w:t>
      </w:r>
      <w:r w:rsidRPr="00976287">
        <w:rPr>
          <w:sz w:val="22"/>
          <w:szCs w:val="22"/>
          <w:lang w:eastAsia="en-GB"/>
        </w:rPr>
        <w:noBreakHyphen/>
        <w:t>aid management and special operations in support of food security</w:t>
      </w:r>
      <w:r w:rsidRPr="00976287">
        <w:rPr>
          <w:sz w:val="22"/>
          <w:szCs w:val="22"/>
          <w:lang w:eastAsia="en-GB"/>
        </w:rPr>
        <w:footnoteReference w:id="12"/>
      </w:r>
      <w:r w:rsidR="0031151B" w:rsidRPr="00976287">
        <w:rPr>
          <w:sz w:val="22"/>
          <w:szCs w:val="22"/>
          <w:lang w:eastAsia="en-GB"/>
        </w:rPr>
        <w:t>, modified by Regulation of the European Parliament and of the Council on access to Community external assistance.</w:t>
      </w:r>
    </w:p>
    <w:p w:rsidR="00203750" w:rsidRPr="00976287" w:rsidRDefault="00203750" w:rsidP="00976287">
      <w:pPr>
        <w:tabs>
          <w:tab w:val="left" w:pos="993"/>
        </w:tabs>
        <w:spacing w:before="120" w:after="120"/>
        <w:ind w:left="992" w:hanging="992"/>
        <w:jc w:val="both"/>
        <w:rPr>
          <w:sz w:val="22"/>
          <w:szCs w:val="22"/>
          <w:lang w:val="en-GB"/>
        </w:rPr>
      </w:pPr>
      <w:r w:rsidRPr="00976287">
        <w:rPr>
          <w:sz w:val="22"/>
          <w:szCs w:val="22"/>
          <w:lang w:val="en-GB"/>
        </w:rPr>
        <w:t>(</w:t>
      </w:r>
      <w:r w:rsidR="00776F45">
        <w:rPr>
          <w:sz w:val="22"/>
          <w:szCs w:val="22"/>
          <w:lang w:val="en-GB"/>
        </w:rPr>
        <w:t>12)</w:t>
      </w:r>
      <w:r w:rsidRPr="00976287">
        <w:rPr>
          <w:sz w:val="22"/>
          <w:szCs w:val="22"/>
          <w:lang w:val="en-GB"/>
        </w:rPr>
        <w:tab/>
        <w:t xml:space="preserve">Council Regulation (EC) No </w:t>
      </w:r>
      <w:r w:rsidR="007A02FA" w:rsidRPr="00976287">
        <w:rPr>
          <w:sz w:val="22"/>
          <w:szCs w:val="22"/>
          <w:lang w:val="en-GB"/>
        </w:rPr>
        <w:t xml:space="preserve">1725/2001 </w:t>
      </w:r>
      <w:r w:rsidRPr="00976287">
        <w:rPr>
          <w:sz w:val="22"/>
          <w:szCs w:val="22"/>
          <w:lang w:val="en-GB"/>
        </w:rPr>
        <w:t>of 23 July</w:t>
      </w:r>
      <w:r w:rsidR="007A02FA" w:rsidRPr="00976287">
        <w:rPr>
          <w:sz w:val="22"/>
          <w:szCs w:val="22"/>
          <w:lang w:val="en-GB"/>
        </w:rPr>
        <w:t xml:space="preserve"> 2001</w:t>
      </w:r>
      <w:r w:rsidRPr="00976287">
        <w:rPr>
          <w:sz w:val="22"/>
          <w:szCs w:val="22"/>
          <w:lang w:val="en-GB"/>
        </w:rPr>
        <w:t xml:space="preserve"> concerning action against anti-personnel landmines in third countries other than developing countries</w:t>
      </w:r>
      <w:r w:rsidRPr="00976287">
        <w:rPr>
          <w:sz w:val="22"/>
          <w:szCs w:val="22"/>
        </w:rPr>
        <w:footnoteReference w:id="13"/>
      </w:r>
      <w:r w:rsidR="00213F8C" w:rsidRPr="00976287">
        <w:rPr>
          <w:sz w:val="22"/>
          <w:szCs w:val="22"/>
          <w:lang w:val="en-GB"/>
        </w:rPr>
        <w:t>, modified by Regulation of the Council on access to Community external assistance.</w:t>
      </w:r>
    </w:p>
    <w:p w:rsidR="00181DAB" w:rsidRPr="00976287" w:rsidRDefault="00213F8C" w:rsidP="00976287">
      <w:pPr>
        <w:tabs>
          <w:tab w:val="left" w:pos="993"/>
        </w:tabs>
        <w:spacing w:before="120" w:after="120"/>
        <w:ind w:left="992" w:hanging="992"/>
        <w:jc w:val="both"/>
        <w:rPr>
          <w:sz w:val="22"/>
          <w:szCs w:val="22"/>
          <w:lang w:val="en-GB"/>
        </w:rPr>
      </w:pPr>
      <w:r w:rsidRPr="00976287">
        <w:rPr>
          <w:sz w:val="22"/>
          <w:szCs w:val="22"/>
          <w:lang w:val="en-GB"/>
        </w:rPr>
        <w:t>(13</w:t>
      </w:r>
      <w:r w:rsidR="00776F45">
        <w:rPr>
          <w:sz w:val="22"/>
          <w:szCs w:val="22"/>
          <w:lang w:val="en-GB"/>
        </w:rPr>
        <w:t>)</w:t>
      </w:r>
      <w:r w:rsidR="00181DAB" w:rsidRPr="00976287">
        <w:rPr>
          <w:sz w:val="22"/>
          <w:szCs w:val="22"/>
          <w:lang w:val="en-GB"/>
        </w:rPr>
        <w:tab/>
        <w:t>Council Regulation (EC) No 976/1999 of 29 April 1999 laying down the requirements for the implementation of Community operations, other than those of development cooperation, which, within the framework of Community cooperation policy, contribute to the general objective of developing and consolidating democracy and the rule of law and to that of respecting human rights and fundamental freedoms in third countries</w:t>
      </w:r>
      <w:r w:rsidRPr="00976287">
        <w:rPr>
          <w:sz w:val="22"/>
          <w:szCs w:val="22"/>
        </w:rPr>
        <w:footnoteReference w:id="14"/>
      </w:r>
      <w:r w:rsidR="00181DAB" w:rsidRPr="00976287">
        <w:rPr>
          <w:sz w:val="22"/>
          <w:szCs w:val="22"/>
          <w:lang w:val="en-GB"/>
        </w:rPr>
        <w:t>, modified by Regulation of the Council on access to Community external assistance.</w:t>
      </w:r>
    </w:p>
    <w:p w:rsidR="008B14F4" w:rsidRPr="00976287" w:rsidRDefault="0003088C" w:rsidP="00976287">
      <w:pPr>
        <w:spacing w:before="120" w:after="120"/>
        <w:ind w:left="1701" w:hanging="1701"/>
        <w:jc w:val="both"/>
        <w:rPr>
          <w:sz w:val="22"/>
          <w:szCs w:val="22"/>
          <w:u w:val="single"/>
          <w:lang w:val="en-GB"/>
        </w:rPr>
      </w:pPr>
      <w:r>
        <w:rPr>
          <w:sz w:val="22"/>
          <w:szCs w:val="22"/>
          <w:u w:val="single"/>
          <w:lang w:val="en-GB"/>
        </w:rPr>
        <w:t>I</w:t>
      </w:r>
      <w:r w:rsidR="008B14F4" w:rsidRPr="00976287">
        <w:rPr>
          <w:sz w:val="22"/>
          <w:szCs w:val="22"/>
          <w:u w:val="single"/>
          <w:lang w:val="en-GB"/>
        </w:rPr>
        <w:t>nstruments with a geographical scope</w:t>
      </w:r>
      <w:r w:rsidR="00D4236F" w:rsidRPr="00976287">
        <w:rPr>
          <w:sz w:val="22"/>
          <w:szCs w:val="22"/>
          <w:u w:val="single"/>
          <w:lang w:val="en-GB"/>
        </w:rPr>
        <w:t>:</w:t>
      </w:r>
    </w:p>
    <w:p w:rsidR="008B14F4" w:rsidRPr="00976287" w:rsidRDefault="00776F45" w:rsidP="00776F45">
      <w:pPr>
        <w:pStyle w:val="ManualNumPar1"/>
        <w:spacing w:line="240" w:lineRule="auto"/>
        <w:ind w:left="993" w:hanging="993"/>
        <w:jc w:val="both"/>
        <w:rPr>
          <w:sz w:val="22"/>
          <w:szCs w:val="22"/>
        </w:rPr>
      </w:pPr>
      <w:r>
        <w:rPr>
          <w:sz w:val="22"/>
          <w:szCs w:val="22"/>
        </w:rPr>
        <w:t>(</w:t>
      </w:r>
      <w:r w:rsidR="00181DAB" w:rsidRPr="00976287">
        <w:rPr>
          <w:sz w:val="22"/>
          <w:szCs w:val="22"/>
        </w:rPr>
        <w:t>1</w:t>
      </w:r>
      <w:r w:rsidR="008B14F4" w:rsidRPr="00976287">
        <w:rPr>
          <w:sz w:val="22"/>
          <w:szCs w:val="22"/>
        </w:rPr>
        <w:t>)</w:t>
      </w:r>
      <w:r w:rsidR="008B14F4" w:rsidRPr="00976287">
        <w:rPr>
          <w:sz w:val="22"/>
          <w:szCs w:val="22"/>
        </w:rPr>
        <w:tab/>
        <w:t>Regulation (EC) No 257/2001 of the European Parliament and of the Council of 22 January 2001 regarding the implementation of measures to promote economic and social development in Turkey</w:t>
      </w:r>
      <w:r w:rsidR="008B14F4" w:rsidRPr="00976287">
        <w:rPr>
          <w:rStyle w:val="FootnoteReference"/>
          <w:sz w:val="22"/>
          <w:szCs w:val="22"/>
        </w:rPr>
        <w:footnoteReference w:id="15"/>
      </w:r>
      <w:r w:rsidR="0031151B" w:rsidRPr="00976287">
        <w:rPr>
          <w:sz w:val="22"/>
          <w:szCs w:val="22"/>
        </w:rPr>
        <w:t>, modified by Regulation of the European Parliament and of the Council on access to Community external assistance.</w:t>
      </w:r>
    </w:p>
    <w:p w:rsidR="0031151B" w:rsidRPr="00976287" w:rsidRDefault="00181DAB" w:rsidP="00776F45">
      <w:pPr>
        <w:pStyle w:val="ManualNumPar1"/>
        <w:spacing w:line="240" w:lineRule="auto"/>
        <w:ind w:left="993" w:hanging="993"/>
        <w:jc w:val="both"/>
        <w:rPr>
          <w:sz w:val="22"/>
          <w:szCs w:val="22"/>
        </w:rPr>
      </w:pPr>
      <w:r w:rsidRPr="00976287">
        <w:rPr>
          <w:sz w:val="22"/>
          <w:szCs w:val="22"/>
        </w:rPr>
        <w:t>(2</w:t>
      </w:r>
      <w:r w:rsidR="008B14F4" w:rsidRPr="00976287">
        <w:rPr>
          <w:sz w:val="22"/>
          <w:szCs w:val="22"/>
        </w:rPr>
        <w:t>)</w:t>
      </w:r>
      <w:r w:rsidR="008B14F4" w:rsidRPr="00976287">
        <w:rPr>
          <w:sz w:val="22"/>
          <w:szCs w:val="22"/>
        </w:rPr>
        <w:tab/>
        <w:t xml:space="preserve">Regulation (EC) No 2130/2001 of the European Parliament and of the Council of 29 October 2001 on operations to aid uprooted people in </w:t>
      </w:r>
      <w:smartTag w:uri="urn:schemas-microsoft-com:office:smarttags" w:element="place">
        <w:r w:rsidR="008B14F4" w:rsidRPr="00976287">
          <w:rPr>
            <w:sz w:val="22"/>
            <w:szCs w:val="22"/>
          </w:rPr>
          <w:t>Asia</w:t>
        </w:r>
      </w:smartTag>
      <w:r w:rsidR="008B14F4" w:rsidRPr="00976287">
        <w:rPr>
          <w:sz w:val="22"/>
          <w:szCs w:val="22"/>
        </w:rPr>
        <w:t xml:space="preserve"> and Latin American developing countries</w:t>
      </w:r>
      <w:r w:rsidR="008B14F4" w:rsidRPr="00976287">
        <w:rPr>
          <w:rStyle w:val="FootnoteReference"/>
          <w:sz w:val="22"/>
          <w:szCs w:val="22"/>
        </w:rPr>
        <w:footnoteReference w:id="16"/>
      </w:r>
      <w:r w:rsidR="0031151B" w:rsidRPr="00976287">
        <w:rPr>
          <w:sz w:val="22"/>
          <w:szCs w:val="22"/>
        </w:rPr>
        <w:t>, modified by Regulation of the European Parliament and of the Council on access to Community external assistance.</w:t>
      </w:r>
    </w:p>
    <w:p w:rsidR="008B14F4" w:rsidRPr="00976287" w:rsidRDefault="00181DAB" w:rsidP="00776F45">
      <w:pPr>
        <w:pStyle w:val="ManualNumPar1"/>
        <w:spacing w:line="240" w:lineRule="auto"/>
        <w:ind w:left="993" w:hanging="993"/>
        <w:jc w:val="both"/>
        <w:rPr>
          <w:sz w:val="22"/>
          <w:szCs w:val="22"/>
        </w:rPr>
      </w:pPr>
      <w:r w:rsidRPr="00976287">
        <w:rPr>
          <w:sz w:val="22"/>
          <w:szCs w:val="22"/>
        </w:rPr>
        <w:lastRenderedPageBreak/>
        <w:t>(3</w:t>
      </w:r>
      <w:r w:rsidR="008B14F4" w:rsidRPr="00976287">
        <w:rPr>
          <w:sz w:val="22"/>
          <w:szCs w:val="22"/>
        </w:rPr>
        <w:t>)</w:t>
      </w:r>
      <w:r w:rsidR="008B14F4" w:rsidRPr="00976287">
        <w:rPr>
          <w:sz w:val="22"/>
          <w:szCs w:val="22"/>
        </w:rPr>
        <w:tab/>
        <w:t>Regulation (EC) No 1726/2000 of the European Parliament and of the Council of 29 June 2000 on development cooperation with South Africa</w:t>
      </w:r>
      <w:r w:rsidR="008B14F4" w:rsidRPr="00976287">
        <w:rPr>
          <w:rStyle w:val="FootnoteReference"/>
          <w:sz w:val="22"/>
          <w:szCs w:val="22"/>
        </w:rPr>
        <w:footnoteReference w:id="17"/>
      </w:r>
      <w:r w:rsidR="0031151B" w:rsidRPr="00976287">
        <w:rPr>
          <w:sz w:val="22"/>
          <w:szCs w:val="22"/>
        </w:rPr>
        <w:t>, modified by Regulation of the European Parliament and of the Council on access t</w:t>
      </w:r>
      <w:r w:rsidR="00F00FA5" w:rsidRPr="00976287">
        <w:rPr>
          <w:sz w:val="22"/>
          <w:szCs w:val="22"/>
        </w:rPr>
        <w:t>o Community external assistance.</w:t>
      </w:r>
    </w:p>
    <w:p w:rsidR="00F00FA5" w:rsidRPr="00976287" w:rsidRDefault="00181DAB" w:rsidP="00776F45">
      <w:pPr>
        <w:pStyle w:val="ManualNumPar1"/>
        <w:spacing w:line="240" w:lineRule="auto"/>
        <w:ind w:left="993" w:hanging="993"/>
        <w:jc w:val="both"/>
        <w:rPr>
          <w:sz w:val="22"/>
          <w:szCs w:val="22"/>
        </w:rPr>
      </w:pPr>
      <w:r w:rsidRPr="00976287">
        <w:rPr>
          <w:sz w:val="22"/>
          <w:szCs w:val="22"/>
        </w:rPr>
        <w:t>(4</w:t>
      </w:r>
      <w:r w:rsidR="008B14F4" w:rsidRPr="00976287">
        <w:rPr>
          <w:sz w:val="22"/>
          <w:szCs w:val="22"/>
        </w:rPr>
        <w:t>)</w:t>
      </w:r>
      <w:r w:rsidR="008B14F4" w:rsidRPr="00976287">
        <w:rPr>
          <w:sz w:val="22"/>
          <w:szCs w:val="22"/>
        </w:rPr>
        <w:tab/>
        <w:t xml:space="preserve">Council </w:t>
      </w:r>
      <w:r w:rsidR="008B14F4" w:rsidRPr="00976287">
        <w:rPr>
          <w:color w:val="000000"/>
          <w:sz w:val="22"/>
          <w:szCs w:val="22"/>
        </w:rPr>
        <w:t>Regulation</w:t>
      </w:r>
      <w:r w:rsidR="008B14F4" w:rsidRPr="00976287">
        <w:rPr>
          <w:sz w:val="22"/>
          <w:szCs w:val="22"/>
        </w:rPr>
        <w:t> (EC) No 1734/94 of 11 July 1994 on financial and technical cooperation with the West Bank and the Gaza Strip</w:t>
      </w:r>
      <w:r w:rsidR="008B14F4" w:rsidRPr="00976287">
        <w:rPr>
          <w:rStyle w:val="FootnoteReference"/>
          <w:sz w:val="22"/>
          <w:szCs w:val="22"/>
        </w:rPr>
        <w:footnoteReference w:id="18"/>
      </w:r>
      <w:r w:rsidR="0031151B" w:rsidRPr="00976287">
        <w:rPr>
          <w:sz w:val="22"/>
          <w:szCs w:val="22"/>
        </w:rPr>
        <w:t xml:space="preserve">, modified by Regulation of the European Parliament and of the Council on access to Community external </w:t>
      </w:r>
      <w:r w:rsidR="00F00FA5" w:rsidRPr="00976287">
        <w:rPr>
          <w:sz w:val="22"/>
          <w:szCs w:val="22"/>
        </w:rPr>
        <w:t>assistance</w:t>
      </w:r>
      <w:r w:rsidR="000F384E" w:rsidRPr="00976287">
        <w:rPr>
          <w:sz w:val="22"/>
          <w:szCs w:val="22"/>
        </w:rPr>
        <w:t>.</w:t>
      </w:r>
    </w:p>
    <w:p w:rsidR="004B3D96" w:rsidRPr="00976287" w:rsidRDefault="00BB3423" w:rsidP="00776F45">
      <w:pPr>
        <w:spacing w:before="120" w:after="120"/>
        <w:ind w:left="993" w:hanging="993"/>
        <w:jc w:val="both"/>
        <w:rPr>
          <w:sz w:val="22"/>
          <w:szCs w:val="22"/>
          <w:lang w:val="en-GB"/>
        </w:rPr>
      </w:pPr>
      <w:r w:rsidRPr="00976287">
        <w:rPr>
          <w:sz w:val="22"/>
          <w:szCs w:val="22"/>
          <w:lang w:val="en-GB"/>
        </w:rPr>
        <w:t>(5)</w:t>
      </w:r>
      <w:r w:rsidRPr="00976287">
        <w:rPr>
          <w:sz w:val="22"/>
          <w:szCs w:val="22"/>
          <w:lang w:val="en-GB"/>
        </w:rPr>
        <w:tab/>
        <w:t>Council Regulation (EC) No 2500/2001 of 17 December 2001 concerning pre accession financial assistance for Turkey</w:t>
      </w:r>
      <w:r w:rsidR="004B3D96" w:rsidRPr="00976287">
        <w:rPr>
          <w:rStyle w:val="FootnoteReference"/>
          <w:sz w:val="22"/>
          <w:szCs w:val="22"/>
          <w:lang w:val="en-GB"/>
        </w:rPr>
        <w:footnoteReference w:id="19"/>
      </w:r>
      <w:r w:rsidR="004B3D96" w:rsidRPr="00976287">
        <w:rPr>
          <w:sz w:val="22"/>
          <w:szCs w:val="22"/>
          <w:lang w:val="en-GB"/>
        </w:rPr>
        <w:t>,</w:t>
      </w:r>
      <w:r w:rsidRPr="00976287">
        <w:rPr>
          <w:sz w:val="22"/>
          <w:szCs w:val="22"/>
          <w:lang w:val="en-GB"/>
        </w:rPr>
        <w:t xml:space="preserve"> </w:t>
      </w:r>
      <w:r w:rsidR="004B3D96" w:rsidRPr="00976287">
        <w:rPr>
          <w:sz w:val="22"/>
          <w:szCs w:val="22"/>
          <w:lang w:val="en-GB"/>
        </w:rPr>
        <w:t>modified by Regulation of the Council on access to Community external assistance.</w:t>
      </w:r>
    </w:p>
    <w:p w:rsidR="004B3D96" w:rsidRPr="00976287" w:rsidRDefault="004B3D96" w:rsidP="00776F45">
      <w:pPr>
        <w:spacing w:before="120" w:after="120"/>
        <w:ind w:left="993" w:hanging="993"/>
        <w:jc w:val="both"/>
        <w:rPr>
          <w:sz w:val="22"/>
          <w:szCs w:val="22"/>
          <w:lang w:val="en-GB"/>
        </w:rPr>
      </w:pPr>
      <w:r w:rsidRPr="00976287">
        <w:rPr>
          <w:sz w:val="22"/>
          <w:szCs w:val="22"/>
          <w:lang w:val="en-GB"/>
        </w:rPr>
        <w:t xml:space="preserve">(6) </w:t>
      </w:r>
      <w:r w:rsidRPr="00976287">
        <w:rPr>
          <w:sz w:val="22"/>
          <w:szCs w:val="22"/>
          <w:lang w:val="en-GB"/>
        </w:rPr>
        <w:tab/>
        <w:t>Council Regulation (EC) No 2666/2000 of 5 December 2000 (CARDS) on assistance for Albania, Bosnia and Herzegovina, Croatia, the Federal Republic of Yugoslavia and the Former Yugoslav Republic of Macedonia, repealing Regulation (EC) No 1628/96</w:t>
      </w:r>
      <w:r w:rsidRPr="00976287">
        <w:rPr>
          <w:rStyle w:val="FootnoteReference"/>
          <w:sz w:val="22"/>
          <w:szCs w:val="22"/>
          <w:lang w:val="en-GB"/>
        </w:rPr>
        <w:footnoteReference w:id="20"/>
      </w:r>
      <w:r w:rsidRPr="00976287">
        <w:rPr>
          <w:sz w:val="22"/>
          <w:szCs w:val="22"/>
          <w:lang w:val="en-GB"/>
        </w:rPr>
        <w:t>,</w:t>
      </w:r>
      <w:r w:rsidR="00F02E7F" w:rsidRPr="00976287">
        <w:rPr>
          <w:sz w:val="22"/>
          <w:szCs w:val="22"/>
          <w:lang w:val="en-GB"/>
        </w:rPr>
        <w:t xml:space="preserve"> </w:t>
      </w:r>
      <w:r w:rsidRPr="00976287">
        <w:rPr>
          <w:sz w:val="22"/>
          <w:szCs w:val="22"/>
          <w:lang w:val="en-GB"/>
        </w:rPr>
        <w:t>modified by Regulation of the Council on access to Community external assistance.</w:t>
      </w:r>
    </w:p>
    <w:p w:rsidR="004B3D96" w:rsidRPr="00976287" w:rsidRDefault="004B3D96" w:rsidP="00776F45">
      <w:pPr>
        <w:spacing w:before="120" w:after="120"/>
        <w:ind w:left="993" w:hanging="993"/>
        <w:jc w:val="both"/>
        <w:rPr>
          <w:sz w:val="22"/>
          <w:szCs w:val="22"/>
          <w:lang w:val="en-GB"/>
        </w:rPr>
      </w:pPr>
      <w:r w:rsidRPr="00976287">
        <w:rPr>
          <w:sz w:val="22"/>
          <w:szCs w:val="22"/>
          <w:lang w:val="en-GB"/>
        </w:rPr>
        <w:t>(7)</w:t>
      </w:r>
      <w:r w:rsidRPr="00976287">
        <w:rPr>
          <w:sz w:val="22"/>
          <w:szCs w:val="22"/>
          <w:lang w:val="en-GB"/>
        </w:rPr>
        <w:tab/>
        <w:t>Council Regulation (EC, EURATOM) No 99/2000 of 29 December 1999 (TACIS) concerning the provision of assistance to the partner States in Eastern Europe and Central Asia</w:t>
      </w:r>
      <w:r w:rsidRPr="00976287">
        <w:rPr>
          <w:rStyle w:val="FootnoteReference"/>
          <w:sz w:val="22"/>
          <w:szCs w:val="22"/>
          <w:lang w:val="en-GB"/>
        </w:rPr>
        <w:footnoteReference w:id="21"/>
      </w:r>
      <w:r w:rsidRPr="00976287">
        <w:rPr>
          <w:sz w:val="22"/>
          <w:szCs w:val="22"/>
          <w:lang w:val="en-GB"/>
        </w:rPr>
        <w:t>, modified by Regulation of the Council on access to Community external assistance.</w:t>
      </w:r>
    </w:p>
    <w:p w:rsidR="00F02E7F" w:rsidRPr="00976287" w:rsidRDefault="004B3D96" w:rsidP="00776F45">
      <w:pPr>
        <w:spacing w:before="120" w:after="120"/>
        <w:ind w:left="993" w:hanging="993"/>
        <w:jc w:val="both"/>
        <w:rPr>
          <w:sz w:val="22"/>
          <w:szCs w:val="22"/>
          <w:lang w:val="en-GB"/>
        </w:rPr>
      </w:pPr>
      <w:r w:rsidRPr="00976287">
        <w:rPr>
          <w:sz w:val="22"/>
          <w:szCs w:val="22"/>
          <w:lang w:val="en-GB"/>
        </w:rPr>
        <w:t>(8)</w:t>
      </w:r>
      <w:r w:rsidRPr="00976287">
        <w:rPr>
          <w:sz w:val="22"/>
          <w:szCs w:val="22"/>
          <w:lang w:val="en-GB"/>
        </w:rPr>
        <w:tab/>
        <w:t>Council Regulation (EC) No 1267/1999 of 21 June 1999 establishing an Instrument for Structural Policies for Pre-accession</w:t>
      </w:r>
      <w:r w:rsidRPr="00976287">
        <w:rPr>
          <w:rStyle w:val="FootnoteReference"/>
          <w:sz w:val="22"/>
          <w:szCs w:val="22"/>
          <w:lang w:val="en-GB"/>
        </w:rPr>
        <w:footnoteReference w:id="22"/>
      </w:r>
      <w:r w:rsidRPr="00976287">
        <w:rPr>
          <w:sz w:val="22"/>
          <w:szCs w:val="22"/>
          <w:lang w:val="en-GB"/>
        </w:rPr>
        <w:t>, modified by Regulation of the Council on access to Community external assistance.</w:t>
      </w:r>
    </w:p>
    <w:p w:rsidR="00C207ED" w:rsidRPr="00976287" w:rsidRDefault="007F666C" w:rsidP="00776F45">
      <w:pPr>
        <w:spacing w:before="120" w:after="120"/>
        <w:ind w:left="993" w:hanging="993"/>
        <w:jc w:val="both"/>
        <w:rPr>
          <w:sz w:val="22"/>
          <w:szCs w:val="22"/>
          <w:lang w:val="en-GB"/>
        </w:rPr>
      </w:pPr>
      <w:r w:rsidRPr="00976287">
        <w:rPr>
          <w:sz w:val="22"/>
          <w:szCs w:val="22"/>
          <w:lang w:val="en-GB"/>
        </w:rPr>
        <w:t xml:space="preserve">(9) </w:t>
      </w:r>
      <w:r w:rsidRPr="00976287">
        <w:rPr>
          <w:sz w:val="22"/>
          <w:szCs w:val="22"/>
          <w:lang w:val="en-GB"/>
        </w:rPr>
        <w:tab/>
        <w:t>Council Regulation (EC) No 1268/1999 of 21 June 1999 on Community support for pre-accession measures for agriculture and rural development in the applicant countries of central and eastern Europe in the pre-accession period</w:t>
      </w:r>
      <w:r w:rsidRPr="00976287">
        <w:rPr>
          <w:rStyle w:val="FootnoteReference"/>
          <w:sz w:val="22"/>
          <w:szCs w:val="22"/>
          <w:lang w:val="en-GB"/>
        </w:rPr>
        <w:footnoteReference w:id="23"/>
      </w:r>
      <w:r w:rsidRPr="00976287">
        <w:rPr>
          <w:sz w:val="22"/>
          <w:szCs w:val="22"/>
          <w:lang w:val="en-GB"/>
        </w:rPr>
        <w:t>, modified by Regulation of the Council on access to Community external assistance.</w:t>
      </w:r>
    </w:p>
    <w:p w:rsidR="007F666C" w:rsidRPr="00976287" w:rsidRDefault="007F666C" w:rsidP="00776F45">
      <w:pPr>
        <w:spacing w:before="120" w:after="120"/>
        <w:ind w:left="993" w:hanging="993"/>
        <w:jc w:val="both"/>
        <w:rPr>
          <w:sz w:val="22"/>
          <w:szCs w:val="22"/>
          <w:lang w:val="en-GB"/>
        </w:rPr>
      </w:pPr>
      <w:r w:rsidRPr="00976287">
        <w:rPr>
          <w:sz w:val="22"/>
          <w:szCs w:val="22"/>
          <w:lang w:val="en-GB"/>
        </w:rPr>
        <w:t>(10)</w:t>
      </w:r>
      <w:r w:rsidRPr="00976287">
        <w:rPr>
          <w:sz w:val="22"/>
          <w:szCs w:val="22"/>
          <w:lang w:val="en-GB"/>
        </w:rPr>
        <w:tab/>
      </w:r>
      <w:r w:rsidR="00AD1FF5" w:rsidRPr="00976287">
        <w:rPr>
          <w:sz w:val="22"/>
          <w:szCs w:val="22"/>
          <w:lang w:val="en-GB"/>
        </w:rPr>
        <w:t>Council Regulation (E</w:t>
      </w:r>
      <w:r w:rsidR="00ED444D" w:rsidRPr="00976287">
        <w:rPr>
          <w:sz w:val="22"/>
          <w:szCs w:val="22"/>
          <w:lang w:val="en-GB"/>
        </w:rPr>
        <w:t>E</w:t>
      </w:r>
      <w:r w:rsidR="00AD1FF5" w:rsidRPr="00976287">
        <w:rPr>
          <w:sz w:val="22"/>
          <w:szCs w:val="22"/>
          <w:lang w:val="en-GB"/>
        </w:rPr>
        <w:t>C) No 1488/96 of 23 July 1996 on financial and technical measures to accompany (MEDA) the reform of economic and social structures in the framework of the Euro-Mediterranean partnership</w:t>
      </w:r>
      <w:r w:rsidR="00AD1FF5" w:rsidRPr="00976287">
        <w:rPr>
          <w:rStyle w:val="FootnoteReference"/>
          <w:sz w:val="22"/>
          <w:szCs w:val="22"/>
          <w:lang w:val="en-GB"/>
        </w:rPr>
        <w:footnoteReference w:id="24"/>
      </w:r>
      <w:r w:rsidR="00AD1FF5" w:rsidRPr="00976287">
        <w:rPr>
          <w:sz w:val="22"/>
          <w:szCs w:val="22"/>
          <w:lang w:val="en-GB"/>
        </w:rPr>
        <w:t>, modified by Regulation of the Council on access to Community external assistance.</w:t>
      </w:r>
    </w:p>
    <w:p w:rsidR="00ED444D" w:rsidRPr="00976287" w:rsidRDefault="00ED444D" w:rsidP="00776F45">
      <w:pPr>
        <w:spacing w:before="120" w:after="120"/>
        <w:ind w:left="993" w:hanging="993"/>
        <w:jc w:val="both"/>
        <w:rPr>
          <w:sz w:val="22"/>
          <w:szCs w:val="22"/>
          <w:lang w:val="en-GB"/>
        </w:rPr>
      </w:pPr>
      <w:r w:rsidRPr="00976287">
        <w:rPr>
          <w:sz w:val="22"/>
          <w:szCs w:val="22"/>
          <w:lang w:val="en-GB"/>
        </w:rPr>
        <w:t>(11)</w:t>
      </w:r>
      <w:r w:rsidRPr="00976287">
        <w:rPr>
          <w:sz w:val="22"/>
          <w:szCs w:val="22"/>
          <w:lang w:val="en-GB"/>
        </w:rPr>
        <w:tab/>
        <w:t xml:space="preserve">Council Regulation (EEC) No </w:t>
      </w:r>
      <w:r w:rsidRPr="00976287">
        <w:rPr>
          <w:bCs/>
          <w:sz w:val="22"/>
          <w:szCs w:val="22"/>
          <w:shd w:val="clear" w:color="auto" w:fill="FEFAEB"/>
          <w:lang w:val="en-GB"/>
        </w:rPr>
        <w:t>1762</w:t>
      </w:r>
      <w:r w:rsidRPr="00976287">
        <w:rPr>
          <w:sz w:val="22"/>
          <w:szCs w:val="22"/>
          <w:lang w:val="en-GB"/>
        </w:rPr>
        <w:t>/</w:t>
      </w:r>
      <w:r w:rsidRPr="00976287">
        <w:rPr>
          <w:bCs/>
          <w:sz w:val="22"/>
          <w:szCs w:val="22"/>
          <w:shd w:val="clear" w:color="auto" w:fill="FEFAEB"/>
          <w:lang w:val="en-GB"/>
        </w:rPr>
        <w:t>92</w:t>
      </w:r>
      <w:r w:rsidRPr="00976287">
        <w:rPr>
          <w:sz w:val="22"/>
          <w:szCs w:val="22"/>
          <w:lang w:val="en-GB"/>
        </w:rPr>
        <w:t xml:space="preserve"> of 29 June 1992 (MEDA) on the implementation of the Protocols on financial and technical cooperation concluded by the Community with Mediterranean non-member countries</w:t>
      </w:r>
      <w:r w:rsidRPr="00976287">
        <w:rPr>
          <w:rStyle w:val="FootnoteReference"/>
          <w:sz w:val="22"/>
          <w:szCs w:val="22"/>
          <w:lang w:val="en-GB"/>
        </w:rPr>
        <w:footnoteReference w:id="25"/>
      </w:r>
      <w:r w:rsidRPr="00976287">
        <w:rPr>
          <w:sz w:val="22"/>
          <w:szCs w:val="22"/>
          <w:lang w:val="en-GB"/>
        </w:rPr>
        <w:t>, modified by Regulation of the Council on access to Community external assistance.</w:t>
      </w:r>
    </w:p>
    <w:p w:rsidR="00ED444D" w:rsidRPr="00976287" w:rsidRDefault="00ED444D" w:rsidP="00776F45">
      <w:pPr>
        <w:spacing w:before="120" w:after="120"/>
        <w:ind w:left="993" w:hanging="993"/>
        <w:jc w:val="both"/>
        <w:rPr>
          <w:sz w:val="22"/>
          <w:szCs w:val="22"/>
          <w:lang w:val="en-GB"/>
        </w:rPr>
      </w:pPr>
      <w:r w:rsidRPr="00976287">
        <w:rPr>
          <w:sz w:val="22"/>
          <w:szCs w:val="22"/>
          <w:lang w:val="en-GB"/>
        </w:rPr>
        <w:t>(12)</w:t>
      </w:r>
      <w:r w:rsidRPr="00976287">
        <w:rPr>
          <w:sz w:val="22"/>
          <w:szCs w:val="22"/>
          <w:lang w:val="en-GB"/>
        </w:rPr>
        <w:tab/>
        <w:t>Council Regulation (EEC) No 443/92 of 25 February 1992 (ALA) on financial and technical assistance to, and economic cooperation with, the developing countries in Asia and Latin America</w:t>
      </w:r>
      <w:r w:rsidRPr="00976287">
        <w:rPr>
          <w:rStyle w:val="FootnoteReference"/>
          <w:sz w:val="22"/>
          <w:szCs w:val="22"/>
          <w:lang w:val="en-GB"/>
        </w:rPr>
        <w:footnoteReference w:id="26"/>
      </w:r>
      <w:r w:rsidRPr="00976287">
        <w:rPr>
          <w:sz w:val="22"/>
          <w:szCs w:val="22"/>
          <w:lang w:val="en-GB"/>
        </w:rPr>
        <w:t>, modified by Regulation of the Council on access to Community external assistance.</w:t>
      </w:r>
    </w:p>
    <w:p w:rsidR="007D7744" w:rsidRPr="003735CB" w:rsidRDefault="00FB77FF" w:rsidP="00776F45">
      <w:pPr>
        <w:pBdr>
          <w:top w:val="single" w:sz="4" w:space="1" w:color="auto"/>
          <w:left w:val="single" w:sz="4" w:space="0" w:color="auto"/>
          <w:bottom w:val="single" w:sz="4" w:space="1" w:color="auto"/>
          <w:right w:val="single" w:sz="4" w:space="4" w:color="auto"/>
        </w:pBdr>
        <w:tabs>
          <w:tab w:val="left" w:pos="1701"/>
        </w:tabs>
        <w:spacing w:before="120" w:after="120"/>
        <w:ind w:left="993" w:hanging="993"/>
        <w:rPr>
          <w:b/>
          <w:sz w:val="28"/>
          <w:szCs w:val="28"/>
          <w:lang w:val="en-GB"/>
        </w:rPr>
      </w:pPr>
      <w:r w:rsidRPr="00976287">
        <w:rPr>
          <w:highlight w:val="green"/>
          <w:lang w:val="en-GB"/>
        </w:rPr>
        <w:br w:type="page"/>
      </w:r>
      <w:r w:rsidR="00E91576" w:rsidRPr="003735CB">
        <w:rPr>
          <w:b/>
          <w:sz w:val="28"/>
          <w:szCs w:val="28"/>
          <w:lang w:val="en-GB"/>
        </w:rPr>
        <w:lastRenderedPageBreak/>
        <w:t>Part 2</w:t>
      </w:r>
      <w:r w:rsidR="007D7744" w:rsidRPr="003735CB">
        <w:rPr>
          <w:b/>
          <w:sz w:val="28"/>
          <w:szCs w:val="28"/>
          <w:lang w:val="en-GB"/>
        </w:rPr>
        <w:tab/>
      </w:r>
      <w:r w:rsidR="0080353B" w:rsidRPr="003735CB">
        <w:rPr>
          <w:b/>
          <w:sz w:val="28"/>
          <w:szCs w:val="28"/>
          <w:lang w:val="en-GB"/>
        </w:rPr>
        <w:t>Development Assistance Committee List of Aid Recipients</w:t>
      </w:r>
      <w:r w:rsidR="00F02E7F" w:rsidRPr="003735CB">
        <w:rPr>
          <w:b/>
          <w:sz w:val="28"/>
          <w:szCs w:val="28"/>
          <w:lang w:val="en-GB"/>
        </w:rPr>
        <w:t xml:space="preserve"> </w:t>
      </w:r>
    </w:p>
    <w:p w:rsidR="00F00FA5" w:rsidRDefault="00F00FA5" w:rsidP="00F00FA5">
      <w:pPr>
        <w:rPr>
          <w:lang w:val="en-GB"/>
        </w:rPr>
      </w:pPr>
    </w:p>
    <w:p w:rsidR="0012545F" w:rsidRPr="00941BCA" w:rsidRDefault="00170571" w:rsidP="00F00FA5">
      <w:pPr>
        <w:rPr>
          <w:sz w:val="22"/>
          <w:szCs w:val="22"/>
          <w:lang w:val="en-GB"/>
        </w:rPr>
      </w:pPr>
      <w:r w:rsidRPr="00941BCA">
        <w:rPr>
          <w:sz w:val="22"/>
          <w:szCs w:val="22"/>
          <w:lang w:val="en-GB"/>
        </w:rPr>
        <w:t xml:space="preserve">DAC list applicable to instruments for external actions </w:t>
      </w:r>
      <w:r w:rsidR="00AA42A2" w:rsidRPr="00941BCA">
        <w:rPr>
          <w:sz w:val="22"/>
          <w:szCs w:val="22"/>
          <w:lang w:val="en-GB"/>
        </w:rPr>
        <w:t xml:space="preserve">which came into force </w:t>
      </w:r>
      <w:r w:rsidRPr="00941BCA">
        <w:rPr>
          <w:sz w:val="22"/>
          <w:szCs w:val="22"/>
          <w:lang w:val="en-GB"/>
        </w:rPr>
        <w:t>before 2007:</w:t>
      </w:r>
    </w:p>
    <w:p w:rsidR="0012545F" w:rsidRDefault="0012545F" w:rsidP="00F00FA5">
      <w:pPr>
        <w:rPr>
          <w:lang w:val="en-GB"/>
        </w:rPr>
      </w:pPr>
    </w:p>
    <w:p w:rsidR="0012545F" w:rsidRDefault="001F65B3" w:rsidP="00F00FA5">
      <w:pPr>
        <w:rPr>
          <w:lang w:val="en-GB"/>
        </w:rPr>
      </w:pPr>
      <w:r>
        <w:rPr>
          <w:lang w:val="en-GB"/>
        </w:rPr>
      </w:r>
      <w:r>
        <w:rPr>
          <w:lang w:val="en-GB"/>
        </w:rPr>
        <w:pict>
          <v:group id="_x0000_s1034" editas="canvas" style="width:431.25pt;height:458.9pt;mso-position-horizontal-relative:char;mso-position-vertical-relative:line" coordsize="8625,9178" o:allowincell="f">
            <o:lock v:ext="edit" aspectratio="t"/>
            <v:shape id="_x0000_s1035" type="#_x0000_t75" style="position:absolute;width:8625;height:9178" o:preferrelative="f" o:allowincell="f">
              <v:fill o:detectmouseclick="t"/>
              <v:path o:extrusionok="t" o:connecttype="none"/>
              <o:lock v:ext="edit" text="t"/>
            </v:shape>
            <v:shape id="_x0000_s1036" type="#_x0000_t75" style="position:absolute;width:8564;height:9118" o:allowincell="f">
              <v:imagedata r:id="rId7" o:title=""/>
            </v:shape>
            <v:rect id="_x0000_s1037" style="position:absolute;left:8564;top:8902;width:61;height:276;mso-wrap-style:none" o:allowincell="f" filled="f" stroked="f">
              <v:textbox style="mso-next-textbox:#_x0000_s1037;mso-fit-shape-to-text:t" inset="0,0,0,0">
                <w:txbxContent>
                  <w:p w:rsidR="00C1621D" w:rsidRDefault="00C1621D" w:rsidP="00C1621D">
                    <w:r>
                      <w:rPr>
                        <w:color w:val="000000"/>
                        <w:szCs w:val="24"/>
                        <w:lang w:val="en-US"/>
                      </w:rPr>
                      <w:t xml:space="preserve"> </w:t>
                    </w:r>
                  </w:p>
                </w:txbxContent>
              </v:textbox>
            </v:rect>
            <w10:wrap type="none"/>
            <w10:anchorlock/>
          </v:group>
        </w:pict>
      </w:r>
    </w:p>
    <w:p w:rsidR="0012545F" w:rsidRPr="00941BCA" w:rsidRDefault="0012545F" w:rsidP="00776F45">
      <w:pPr>
        <w:keepNext/>
        <w:keepLines/>
        <w:jc w:val="both"/>
        <w:rPr>
          <w:sz w:val="22"/>
          <w:szCs w:val="22"/>
          <w:lang w:val="en-GB"/>
        </w:rPr>
      </w:pPr>
      <w:r w:rsidRPr="00941BCA">
        <w:rPr>
          <w:sz w:val="22"/>
          <w:szCs w:val="22"/>
          <w:lang w:val="en-GB"/>
        </w:rPr>
        <w:lastRenderedPageBreak/>
        <w:t xml:space="preserve">DAC list applicable to </w:t>
      </w:r>
      <w:r w:rsidR="00A744F3" w:rsidRPr="00941BCA">
        <w:rPr>
          <w:sz w:val="22"/>
          <w:szCs w:val="22"/>
          <w:lang w:val="en-GB"/>
        </w:rPr>
        <w:t xml:space="preserve">the </w:t>
      </w:r>
      <w:r w:rsidRPr="00941BCA">
        <w:rPr>
          <w:sz w:val="22"/>
          <w:szCs w:val="22"/>
          <w:lang w:val="en-GB"/>
        </w:rPr>
        <w:t xml:space="preserve">instrument for development cooperation </w:t>
      </w:r>
      <w:r w:rsidR="00A744F3" w:rsidRPr="00941BCA">
        <w:rPr>
          <w:sz w:val="22"/>
          <w:szCs w:val="22"/>
          <w:lang w:val="en-GB"/>
        </w:rPr>
        <w:t xml:space="preserve">(DCI) </w:t>
      </w:r>
      <w:r w:rsidRPr="00941BCA">
        <w:rPr>
          <w:sz w:val="22"/>
          <w:szCs w:val="22"/>
          <w:lang w:val="en-GB"/>
        </w:rPr>
        <w:t>(Regulation (EC)</w:t>
      </w:r>
      <w:r w:rsidR="00776F45">
        <w:rPr>
          <w:sz w:val="22"/>
          <w:szCs w:val="22"/>
          <w:lang w:val="en-GB"/>
        </w:rPr>
        <w:t> </w:t>
      </w:r>
      <w:r w:rsidRPr="00941BCA">
        <w:rPr>
          <w:sz w:val="22"/>
          <w:szCs w:val="22"/>
          <w:lang w:val="en-GB"/>
        </w:rPr>
        <w:t>N°1905/2006</w:t>
      </w:r>
      <w:r w:rsidR="00A744F3" w:rsidRPr="00941BCA">
        <w:rPr>
          <w:sz w:val="22"/>
          <w:szCs w:val="22"/>
          <w:lang w:val="en-GB"/>
        </w:rPr>
        <w:t xml:space="preserve"> </w:t>
      </w:r>
      <w:r w:rsidRPr="00941BCA">
        <w:rPr>
          <w:sz w:val="22"/>
          <w:szCs w:val="22"/>
          <w:lang w:val="en-GB"/>
        </w:rPr>
        <w:t>of the EP and of the Council - OJ L378/65 of 27.12.2006):</w:t>
      </w:r>
    </w:p>
    <w:p w:rsidR="0012545F" w:rsidRDefault="0012545F" w:rsidP="00776F45">
      <w:pPr>
        <w:keepNext/>
        <w:keepLines/>
        <w:rPr>
          <w:lang w:val="en-GB"/>
        </w:rPr>
      </w:pPr>
    </w:p>
    <w:p w:rsidR="007A518E" w:rsidRDefault="001F65B3" w:rsidP="00776F45">
      <w:pPr>
        <w:keepNext/>
        <w:keepLines/>
        <w:rPr>
          <w:b/>
          <w:sz w:val="28"/>
          <w:szCs w:val="28"/>
          <w:lang w:val="en-GB"/>
        </w:rPr>
      </w:pPr>
      <w:r>
        <w:rPr>
          <w:noProof/>
          <w:lang w:val="fr-BE"/>
        </w:rPr>
        <w:pict>
          <v:shapetype id="_x0000_t202" coordsize="21600,21600" o:spt="202" path="m,l,21600r21600,l21600,xe">
            <v:stroke joinstyle="miter"/>
            <v:path gradientshapeok="t" o:connecttype="rect"/>
          </v:shapetype>
          <v:shape id="_x0000_s1027" type="#_x0000_t202" style="position:absolute;margin-left:-448pt;margin-top:9.3pt;width:114pt;height:36pt;z-index:251657216" o:allowincell="f">
            <v:textbox style="mso-next-textbox:#_x0000_s1027">
              <w:txbxContent>
                <w:p w:rsidR="007D7744" w:rsidRPr="007D7744" w:rsidRDefault="007D7744" w:rsidP="007D7744">
                  <w:pPr>
                    <w:rPr>
                      <w:sz w:val="16"/>
                      <w:szCs w:val="16"/>
                      <w:lang w:val="en-GB"/>
                    </w:rPr>
                  </w:pPr>
                  <w:r w:rsidRPr="007D7744">
                    <w:rPr>
                      <w:sz w:val="16"/>
                      <w:szCs w:val="16"/>
                      <w:highlight w:val="yellow"/>
                      <w:lang w:val="en-GB"/>
                    </w:rPr>
                    <w:t>JL, Pools: Please replace "DAC" with "Development Assistance Committee"</w:t>
                  </w:r>
                </w:p>
              </w:txbxContent>
            </v:textbox>
          </v:shape>
        </w:pict>
      </w:r>
      <w:r>
        <w:pict>
          <v:shape id="_x0000_i1029" type="#_x0000_t75" style="width:475.5pt;height:549pt">
            <v:imagedata r:id="rId8" o:title="" gain="57672f" blacklevel="-1966f"/>
          </v:shape>
        </w:pict>
      </w:r>
    </w:p>
    <w:p w:rsidR="000049C8" w:rsidRPr="003735CB" w:rsidRDefault="000049C8" w:rsidP="003735CB"/>
    <w:p w:rsidR="00E87562" w:rsidRDefault="0081602B" w:rsidP="000049C8">
      <w:pPr>
        <w:rPr>
          <w:b/>
          <w:sz w:val="28"/>
          <w:szCs w:val="28"/>
          <w:lang w:val="en-GB"/>
        </w:rPr>
      </w:pPr>
      <w:r>
        <w:rPr>
          <w:b/>
          <w:sz w:val="28"/>
          <w:szCs w:val="28"/>
          <w:lang w:val="en-GB"/>
        </w:rPr>
        <w:br w:type="page"/>
      </w:r>
      <w:r w:rsidR="001F65B3">
        <w:rPr>
          <w:b/>
          <w:sz w:val="28"/>
          <w:szCs w:val="28"/>
          <w:lang w:val="en-GB"/>
        </w:rPr>
        <w:lastRenderedPageBreak/>
        <w:pict>
          <v:shape id="_x0000_i1030" type="#_x0000_t75" style="width:459.5pt;height:657pt">
            <v:imagedata r:id="rId9" o:title=""/>
          </v:shape>
        </w:pict>
      </w:r>
      <w:r w:rsidR="00BD2D17">
        <w:rPr>
          <w:b/>
          <w:sz w:val="28"/>
          <w:szCs w:val="28"/>
          <w:lang w:val="en-GB"/>
        </w:rPr>
        <w:br w:type="page"/>
      </w:r>
      <w:r w:rsidR="001F65B3">
        <w:rPr>
          <w:b/>
          <w:sz w:val="28"/>
          <w:szCs w:val="28"/>
          <w:lang w:val="en-GB"/>
        </w:rPr>
        <w:lastRenderedPageBreak/>
        <w:pict>
          <v:shape id="_x0000_i1031" type="#_x0000_t75" style="width:460pt;height:658.5pt">
            <v:imagedata r:id="rId10" o:title=""/>
          </v:shape>
        </w:pict>
      </w:r>
    </w:p>
    <w:p w:rsidR="000049C8" w:rsidRDefault="00E87562" w:rsidP="000049C8">
      <w:pPr>
        <w:rPr>
          <w:b/>
          <w:sz w:val="28"/>
          <w:szCs w:val="28"/>
          <w:lang w:val="en-GB"/>
        </w:rPr>
      </w:pPr>
      <w:r>
        <w:rPr>
          <w:b/>
          <w:sz w:val="28"/>
          <w:szCs w:val="28"/>
          <w:lang w:val="en-GB"/>
        </w:rPr>
        <w:br w:type="page"/>
      </w:r>
      <w:r w:rsidR="001F65B3">
        <w:rPr>
          <w:b/>
          <w:sz w:val="28"/>
          <w:szCs w:val="28"/>
          <w:lang w:val="en-GB"/>
        </w:rPr>
        <w:lastRenderedPageBreak/>
        <w:pict>
          <v:shape id="_x0000_i1032" type="#_x0000_t75" style="width:460.5pt;height:623pt">
            <v:imagedata r:id="rId11" o:title=""/>
          </v:shape>
        </w:pict>
      </w:r>
      <w:r w:rsidR="00F02E7F">
        <w:rPr>
          <w:b/>
          <w:sz w:val="28"/>
          <w:szCs w:val="28"/>
          <w:lang w:val="en-GB"/>
        </w:rPr>
        <w:br w:type="page"/>
      </w:r>
    </w:p>
    <w:p w:rsidR="00B3417D" w:rsidRDefault="00E91576" w:rsidP="00F02E7F">
      <w:pPr>
        <w:pBdr>
          <w:top w:val="single" w:sz="4" w:space="1" w:color="auto"/>
          <w:left w:val="single" w:sz="4" w:space="4" w:color="auto"/>
          <w:bottom w:val="single" w:sz="4" w:space="1" w:color="auto"/>
          <w:right w:val="single" w:sz="4" w:space="4" w:color="auto"/>
        </w:pBdr>
        <w:rPr>
          <w:b/>
          <w:snapToGrid w:val="0"/>
          <w:lang w:val="en-GB"/>
        </w:rPr>
      </w:pPr>
      <w:r>
        <w:rPr>
          <w:b/>
          <w:sz w:val="28"/>
          <w:szCs w:val="28"/>
          <w:lang w:val="en-GB"/>
        </w:rPr>
        <w:t>Part 3</w:t>
      </w:r>
      <w:r w:rsidR="007D7744" w:rsidRPr="00264FF7">
        <w:rPr>
          <w:b/>
          <w:sz w:val="28"/>
          <w:szCs w:val="28"/>
          <w:lang w:val="en-GB"/>
        </w:rPr>
        <w:tab/>
      </w:r>
      <w:r w:rsidR="00C275E9" w:rsidRPr="00C275E9">
        <w:rPr>
          <w:b/>
          <w:sz w:val="28"/>
          <w:szCs w:val="28"/>
          <w:lang w:val="en-GB"/>
        </w:rPr>
        <w:t>EDF/ACP STATES</w:t>
      </w:r>
    </w:p>
    <w:p w:rsidR="00F02E7F" w:rsidRDefault="00F02E7F" w:rsidP="00A0349C">
      <w:pPr>
        <w:jc w:val="both"/>
        <w:rPr>
          <w:b/>
          <w:snapToGrid w:val="0"/>
          <w:sz w:val="22"/>
          <w:szCs w:val="22"/>
          <w:lang w:val="en-GB"/>
        </w:rPr>
      </w:pPr>
    </w:p>
    <w:p w:rsidR="00763A71" w:rsidRPr="00F02E7F" w:rsidRDefault="007A49BE" w:rsidP="00976287">
      <w:pPr>
        <w:spacing w:before="120" w:after="120"/>
        <w:jc w:val="both"/>
        <w:rPr>
          <w:b/>
          <w:snapToGrid w:val="0"/>
          <w:szCs w:val="24"/>
          <w:lang w:val="en-GB"/>
        </w:rPr>
      </w:pPr>
      <w:r w:rsidRPr="00F02E7F">
        <w:rPr>
          <w:b/>
          <w:snapToGrid w:val="0"/>
          <w:szCs w:val="24"/>
          <w:lang w:val="en-GB"/>
        </w:rPr>
        <w:t xml:space="preserve">10th </w:t>
      </w:r>
      <w:r w:rsidR="00763A71" w:rsidRPr="00F02E7F">
        <w:rPr>
          <w:b/>
          <w:snapToGrid w:val="0"/>
          <w:szCs w:val="24"/>
          <w:lang w:val="en-GB"/>
        </w:rPr>
        <w:t>EDF/ACP STATES</w:t>
      </w:r>
      <w:r w:rsidR="00763A71" w:rsidRPr="00F02E7F">
        <w:rPr>
          <w:b/>
          <w:snapToGrid w:val="0"/>
          <w:szCs w:val="24"/>
          <w:vertAlign w:val="superscript"/>
          <w:lang w:val="en-GB"/>
        </w:rPr>
        <w:footnoteReference w:id="27"/>
      </w:r>
      <w:r w:rsidR="0080353B" w:rsidRPr="00F02E7F">
        <w:rPr>
          <w:b/>
          <w:snapToGrid w:val="0"/>
          <w:szCs w:val="24"/>
          <w:lang w:val="en-GB"/>
        </w:rPr>
        <w:t>:</w:t>
      </w:r>
    </w:p>
    <w:p w:rsidR="00763A71" w:rsidRPr="00941BCA" w:rsidRDefault="00763A71" w:rsidP="00976287">
      <w:pPr>
        <w:spacing w:before="120" w:after="120"/>
        <w:jc w:val="both"/>
        <w:rPr>
          <w:b/>
          <w:snapToGrid w:val="0"/>
          <w:sz w:val="22"/>
          <w:szCs w:val="22"/>
          <w:lang w:val="en-GB"/>
        </w:rPr>
      </w:pPr>
      <w:smartTag w:uri="urn:schemas-microsoft-com:office:smarttags" w:element="place">
        <w:r w:rsidRPr="00941BCA">
          <w:rPr>
            <w:b/>
            <w:snapToGrid w:val="0"/>
            <w:sz w:val="22"/>
            <w:szCs w:val="22"/>
            <w:lang w:val="en-GB"/>
          </w:rPr>
          <w:t>Africa</w:t>
        </w:r>
      </w:smartTag>
      <w:r w:rsidR="0080353B" w:rsidRPr="00941BCA">
        <w:rPr>
          <w:b/>
          <w:snapToGrid w:val="0"/>
          <w:sz w:val="22"/>
          <w:szCs w:val="22"/>
          <w:lang w:val="en-GB"/>
        </w:rPr>
        <w:t>:</w:t>
      </w:r>
    </w:p>
    <w:p w:rsidR="00763A71" w:rsidRPr="00941BCA" w:rsidRDefault="00763A71" w:rsidP="00976287">
      <w:pPr>
        <w:spacing w:before="120" w:after="120"/>
        <w:jc w:val="both"/>
        <w:rPr>
          <w:snapToGrid w:val="0"/>
          <w:sz w:val="22"/>
          <w:szCs w:val="22"/>
          <w:lang w:val="en-GB"/>
        </w:rPr>
      </w:pPr>
      <w:r w:rsidRPr="00941BCA">
        <w:rPr>
          <w:snapToGrid w:val="0"/>
          <w:sz w:val="22"/>
          <w:szCs w:val="22"/>
          <w:lang w:val="en-GB"/>
        </w:rPr>
        <w:t>South Africa,</w:t>
      </w:r>
      <w:r w:rsidRPr="00941BCA">
        <w:rPr>
          <w:snapToGrid w:val="0"/>
          <w:sz w:val="22"/>
          <w:szCs w:val="22"/>
          <w:vertAlign w:val="superscript"/>
          <w:lang w:val="en-GB"/>
        </w:rPr>
        <w:footnoteReference w:id="28"/>
      </w:r>
      <w:r w:rsidRPr="00941BCA">
        <w:rPr>
          <w:snapToGrid w:val="0"/>
          <w:sz w:val="22"/>
          <w:szCs w:val="22"/>
          <w:lang w:val="en-GB"/>
        </w:rPr>
        <w:t xml:space="preserve"> Angola, Benin, Botswana, Burkina Faso, Burundi, </w:t>
      </w:r>
      <w:r w:rsidR="00D267E9" w:rsidRPr="00941BCA">
        <w:rPr>
          <w:snapToGrid w:val="0"/>
          <w:sz w:val="22"/>
          <w:szCs w:val="22"/>
          <w:lang w:val="en-GB"/>
        </w:rPr>
        <w:t xml:space="preserve">Central African Republic, </w:t>
      </w:r>
      <w:r w:rsidRPr="00941BCA">
        <w:rPr>
          <w:snapToGrid w:val="0"/>
          <w:sz w:val="22"/>
          <w:szCs w:val="22"/>
          <w:lang w:val="en-GB"/>
        </w:rPr>
        <w:t xml:space="preserve">Cameroon, Cape Verde, </w:t>
      </w:r>
      <w:r w:rsidR="00D267E9" w:rsidRPr="00941BCA">
        <w:rPr>
          <w:snapToGrid w:val="0"/>
          <w:sz w:val="22"/>
          <w:szCs w:val="22"/>
          <w:lang w:val="en-GB"/>
        </w:rPr>
        <w:t xml:space="preserve">Chad, </w:t>
      </w:r>
      <w:r w:rsidRPr="00941BCA">
        <w:rPr>
          <w:snapToGrid w:val="0"/>
          <w:sz w:val="22"/>
          <w:szCs w:val="22"/>
          <w:lang w:val="en-GB"/>
        </w:rPr>
        <w:t xml:space="preserve">Comoros Islands, Congo, Côte d'Ivoire, </w:t>
      </w:r>
      <w:r w:rsidR="00D267E9" w:rsidRPr="00941BCA">
        <w:rPr>
          <w:snapToGrid w:val="0"/>
          <w:sz w:val="22"/>
          <w:szCs w:val="22"/>
          <w:lang w:val="en-GB"/>
        </w:rPr>
        <w:t xml:space="preserve">Democratic Republic of the Congo, </w:t>
      </w:r>
      <w:r w:rsidRPr="00941BCA">
        <w:rPr>
          <w:snapToGrid w:val="0"/>
          <w:sz w:val="22"/>
          <w:szCs w:val="22"/>
          <w:lang w:val="en-GB"/>
        </w:rPr>
        <w:t>Djibouti, Eritrea, Ethiopia, Gabon, Gambia, Ghana, Guinea, Guinea-Bissau, Equatorial Guinea, Kenya, Lesotho, Liberia, Madagascar, Malawi, Mali, Mauritius, Mauritania, Mozambique, Namibia, Niger, Nigeria, Uganda, Rwanda, Sao Tome and Principe, Senegal, Seychelles, Sierra Leone, Somalia, Sudan, Swaziland, Tanzania, Togo, Zambia and Zimbabwe.</w:t>
      </w:r>
    </w:p>
    <w:p w:rsidR="00763A71" w:rsidRPr="00941BCA" w:rsidRDefault="00763A71" w:rsidP="00976287">
      <w:pPr>
        <w:spacing w:before="120" w:after="120"/>
        <w:jc w:val="both"/>
        <w:rPr>
          <w:b/>
          <w:snapToGrid w:val="0"/>
          <w:sz w:val="22"/>
          <w:szCs w:val="22"/>
          <w:lang w:val="en-GB"/>
        </w:rPr>
      </w:pPr>
      <w:smartTag w:uri="urn:schemas-microsoft-com:office:smarttags" w:element="place">
        <w:r w:rsidRPr="00941BCA">
          <w:rPr>
            <w:b/>
            <w:snapToGrid w:val="0"/>
            <w:sz w:val="22"/>
            <w:szCs w:val="22"/>
            <w:lang w:val="en-GB"/>
          </w:rPr>
          <w:t>Caribbean</w:t>
        </w:r>
      </w:smartTag>
      <w:r w:rsidR="0080353B" w:rsidRPr="00941BCA">
        <w:rPr>
          <w:b/>
          <w:snapToGrid w:val="0"/>
          <w:sz w:val="22"/>
          <w:szCs w:val="22"/>
          <w:lang w:val="en-GB"/>
        </w:rPr>
        <w:t>:</w:t>
      </w:r>
    </w:p>
    <w:p w:rsidR="00763A71" w:rsidRPr="00941BCA" w:rsidRDefault="00763A71" w:rsidP="00976287">
      <w:pPr>
        <w:spacing w:before="120" w:after="120"/>
        <w:jc w:val="both"/>
        <w:rPr>
          <w:snapToGrid w:val="0"/>
          <w:sz w:val="22"/>
          <w:szCs w:val="22"/>
          <w:lang w:val="en-GB"/>
        </w:rPr>
      </w:pPr>
      <w:r w:rsidRPr="00941BCA">
        <w:rPr>
          <w:snapToGrid w:val="0"/>
          <w:sz w:val="22"/>
          <w:szCs w:val="22"/>
          <w:lang w:val="en-GB"/>
        </w:rPr>
        <w:t xml:space="preserve">Antigua and Barbuda, Bahamas, Barbados, Belize, Dominica, </w:t>
      </w:r>
      <w:r w:rsidR="00D267E9" w:rsidRPr="00941BCA">
        <w:rPr>
          <w:snapToGrid w:val="0"/>
          <w:sz w:val="22"/>
          <w:szCs w:val="22"/>
          <w:lang w:val="en-GB"/>
        </w:rPr>
        <w:t xml:space="preserve">Dominican Republic, </w:t>
      </w:r>
      <w:r w:rsidRPr="00941BCA">
        <w:rPr>
          <w:snapToGrid w:val="0"/>
          <w:sz w:val="22"/>
          <w:szCs w:val="22"/>
          <w:lang w:val="en-GB"/>
        </w:rPr>
        <w:t>Grenada, Guyana, Haiti, Jamaica, S</w:t>
      </w:r>
      <w:r w:rsidR="00D267E9" w:rsidRPr="00941BCA">
        <w:rPr>
          <w:snapToGrid w:val="0"/>
          <w:sz w:val="22"/>
          <w:szCs w:val="22"/>
          <w:lang w:val="en-GB"/>
        </w:rPr>
        <w:t>ain</w:t>
      </w:r>
      <w:r w:rsidRPr="00941BCA">
        <w:rPr>
          <w:snapToGrid w:val="0"/>
          <w:sz w:val="22"/>
          <w:szCs w:val="22"/>
          <w:lang w:val="en-GB"/>
        </w:rPr>
        <w:t>t Kitts and Nevis, Saint Lucia, Saint Vincent and the Grenadines, Surinam, Trinidad and Tobago.</w:t>
      </w:r>
    </w:p>
    <w:p w:rsidR="00763A71" w:rsidRPr="00941BCA" w:rsidRDefault="00763A71" w:rsidP="00976287">
      <w:pPr>
        <w:spacing w:before="120" w:after="120"/>
        <w:jc w:val="both"/>
        <w:rPr>
          <w:b/>
          <w:snapToGrid w:val="0"/>
          <w:sz w:val="22"/>
          <w:szCs w:val="22"/>
          <w:lang w:val="en-GB"/>
        </w:rPr>
      </w:pPr>
      <w:r w:rsidRPr="00941BCA">
        <w:rPr>
          <w:b/>
          <w:snapToGrid w:val="0"/>
          <w:sz w:val="22"/>
          <w:szCs w:val="22"/>
          <w:lang w:val="en-GB"/>
        </w:rPr>
        <w:t>Pacific</w:t>
      </w:r>
      <w:r w:rsidR="0080353B" w:rsidRPr="00941BCA">
        <w:rPr>
          <w:b/>
          <w:snapToGrid w:val="0"/>
          <w:sz w:val="22"/>
          <w:szCs w:val="22"/>
          <w:lang w:val="en-GB"/>
        </w:rPr>
        <w:t>:</w:t>
      </w:r>
    </w:p>
    <w:p w:rsidR="00763A71" w:rsidRPr="00941BCA" w:rsidRDefault="00763A71" w:rsidP="00976287">
      <w:pPr>
        <w:spacing w:before="120" w:after="120"/>
        <w:jc w:val="both"/>
        <w:rPr>
          <w:snapToGrid w:val="0"/>
          <w:sz w:val="22"/>
          <w:szCs w:val="22"/>
          <w:lang w:val="en-GB"/>
        </w:rPr>
      </w:pPr>
      <w:r w:rsidRPr="00941BCA">
        <w:rPr>
          <w:snapToGrid w:val="0"/>
          <w:sz w:val="22"/>
          <w:szCs w:val="22"/>
          <w:lang w:val="en-GB"/>
        </w:rPr>
        <w:t xml:space="preserve">Cook Islands, </w:t>
      </w:r>
      <w:r w:rsidR="001224B3" w:rsidRPr="00941BCA">
        <w:rPr>
          <w:snapToGrid w:val="0"/>
          <w:sz w:val="22"/>
          <w:szCs w:val="22"/>
          <w:lang w:val="en-GB"/>
        </w:rPr>
        <w:t xml:space="preserve">East Timor, </w:t>
      </w:r>
      <w:r w:rsidRPr="00941BCA">
        <w:rPr>
          <w:snapToGrid w:val="0"/>
          <w:sz w:val="22"/>
          <w:szCs w:val="22"/>
          <w:lang w:val="en-GB"/>
        </w:rPr>
        <w:t>Fiji, Kiribati, Marshall Islands, Micronesia, Nauru, Niue, Palau, Papua New Guinea, the Solomon Islands, Western Samoa, Tonga, Tuvalu, Vanuatu.</w:t>
      </w:r>
    </w:p>
    <w:p w:rsidR="00763A71" w:rsidRPr="00941BCA" w:rsidRDefault="00763A71" w:rsidP="00976287">
      <w:pPr>
        <w:spacing w:before="120" w:after="120"/>
        <w:jc w:val="both"/>
        <w:rPr>
          <w:b/>
          <w:snapToGrid w:val="0"/>
          <w:sz w:val="22"/>
          <w:szCs w:val="22"/>
          <w:lang w:val="en-GB"/>
        </w:rPr>
      </w:pPr>
      <w:r w:rsidRPr="00941BCA">
        <w:rPr>
          <w:b/>
          <w:snapToGrid w:val="0"/>
          <w:sz w:val="22"/>
          <w:szCs w:val="22"/>
          <w:lang w:val="en-GB"/>
        </w:rPr>
        <w:t>Overseas countries and territories</w:t>
      </w:r>
      <w:r w:rsidR="0080353B" w:rsidRPr="00941BCA">
        <w:rPr>
          <w:b/>
          <w:snapToGrid w:val="0"/>
          <w:sz w:val="22"/>
          <w:szCs w:val="22"/>
          <w:lang w:val="en-GB"/>
        </w:rPr>
        <w:t>:</w:t>
      </w:r>
    </w:p>
    <w:p w:rsidR="00763A71" w:rsidRPr="00941BCA" w:rsidRDefault="00763A71" w:rsidP="00976287">
      <w:pPr>
        <w:spacing w:before="120" w:after="120"/>
        <w:jc w:val="both"/>
        <w:rPr>
          <w:snapToGrid w:val="0"/>
          <w:sz w:val="22"/>
          <w:szCs w:val="22"/>
          <w:lang w:val="en-GB"/>
        </w:rPr>
      </w:pPr>
      <w:r w:rsidRPr="00941BCA">
        <w:rPr>
          <w:snapToGrid w:val="0"/>
          <w:sz w:val="22"/>
          <w:szCs w:val="22"/>
          <w:lang w:val="en-GB"/>
        </w:rPr>
        <w:t xml:space="preserve">Anguilla, the Antarctic, the Netherlands Antilles, Aruba, </w:t>
      </w:r>
      <w:r w:rsidR="00D267E9" w:rsidRPr="00941BCA">
        <w:rPr>
          <w:snapToGrid w:val="0"/>
          <w:sz w:val="22"/>
          <w:szCs w:val="22"/>
          <w:lang w:val="en-GB"/>
        </w:rPr>
        <w:t xml:space="preserve">British Indian Ocean Territory, British Virgin Islands, </w:t>
      </w:r>
      <w:r w:rsidRPr="00941BCA">
        <w:rPr>
          <w:snapToGrid w:val="0"/>
          <w:sz w:val="22"/>
          <w:szCs w:val="22"/>
          <w:lang w:val="en-GB"/>
        </w:rPr>
        <w:t xml:space="preserve">Cayman Islands, Falkland Islands (Malvinas), </w:t>
      </w:r>
      <w:r w:rsidR="00BF55B3" w:rsidRPr="00941BCA">
        <w:rPr>
          <w:snapToGrid w:val="0"/>
          <w:sz w:val="22"/>
          <w:szCs w:val="22"/>
          <w:lang w:val="en-GB"/>
        </w:rPr>
        <w:t xml:space="preserve">French Polynesia, </w:t>
      </w:r>
      <w:r w:rsidR="00D267E9" w:rsidRPr="00941BCA">
        <w:rPr>
          <w:snapToGrid w:val="0"/>
          <w:sz w:val="22"/>
          <w:szCs w:val="22"/>
          <w:lang w:val="en-GB"/>
        </w:rPr>
        <w:t xml:space="preserve">French Southern Territories, </w:t>
      </w:r>
      <w:r w:rsidRPr="00941BCA">
        <w:rPr>
          <w:snapToGrid w:val="0"/>
          <w:sz w:val="22"/>
          <w:szCs w:val="22"/>
          <w:lang w:val="en-GB"/>
        </w:rPr>
        <w:t xml:space="preserve">Greenland, Mayotte, Montserrat, New Caledonia, Pitcairn, Saint Helena, Saint-Pierre-et-Miquelon, </w:t>
      </w:r>
      <w:r w:rsidR="00D267E9" w:rsidRPr="00941BCA">
        <w:rPr>
          <w:snapToGrid w:val="0"/>
          <w:sz w:val="22"/>
          <w:szCs w:val="22"/>
          <w:lang w:val="en-GB"/>
        </w:rPr>
        <w:t xml:space="preserve">South Georgia and South Sandwich Islands, </w:t>
      </w:r>
      <w:r w:rsidRPr="00941BCA">
        <w:rPr>
          <w:snapToGrid w:val="0"/>
          <w:sz w:val="22"/>
          <w:szCs w:val="22"/>
          <w:lang w:val="en-GB"/>
        </w:rPr>
        <w:t>Turks and Caicos, Wallis and Futuna Islands.</w:t>
      </w:r>
    </w:p>
    <w:p w:rsidR="00495F90" w:rsidRPr="00976287" w:rsidRDefault="003804FC" w:rsidP="00976287">
      <w:pPr>
        <w:spacing w:before="120" w:after="120"/>
        <w:rPr>
          <w:b/>
          <w:snapToGrid w:val="0"/>
          <w:szCs w:val="24"/>
          <w:lang w:val="en-GB"/>
        </w:rPr>
      </w:pPr>
      <w:r w:rsidRPr="00941BCA">
        <w:rPr>
          <w:snapToGrid w:val="0"/>
          <w:sz w:val="22"/>
          <w:szCs w:val="22"/>
          <w:lang w:val="en-GB"/>
        </w:rPr>
        <w:br w:type="page"/>
      </w:r>
      <w:r w:rsidRPr="00976287">
        <w:rPr>
          <w:b/>
          <w:bCs/>
          <w:kern w:val="32"/>
          <w:szCs w:val="24"/>
          <w:lang w:val="en-GB"/>
        </w:rPr>
        <w:lastRenderedPageBreak/>
        <w:t xml:space="preserve">NATIONALITY AND ORIGIN RULES AND ELIGIBLE AND NON ELIGIBLE COSTS FOR THE </w:t>
      </w:r>
      <w:r w:rsidRPr="00976287">
        <w:rPr>
          <w:b/>
          <w:szCs w:val="24"/>
          <w:lang w:val="en-GB"/>
        </w:rPr>
        <w:t>EUROPEAN DEVELOPMENT FUND</w:t>
      </w:r>
    </w:p>
    <w:p w:rsidR="00495F90" w:rsidRPr="00941BCA" w:rsidRDefault="00495F90" w:rsidP="00976287">
      <w:pPr>
        <w:spacing w:before="120" w:after="120"/>
        <w:rPr>
          <w:sz w:val="22"/>
          <w:szCs w:val="22"/>
          <w:lang w:val="en-GB"/>
        </w:rPr>
      </w:pPr>
      <w:r w:rsidRPr="00941BCA">
        <w:rPr>
          <w:b/>
          <w:sz w:val="22"/>
          <w:szCs w:val="22"/>
          <w:lang w:val="en-GB"/>
        </w:rPr>
        <w:t xml:space="preserve">Annex IV to the ACP-EC Partnership Agreement signed in </w:t>
      </w:r>
      <w:smartTag w:uri="urn:schemas-microsoft-com:office:smarttags" w:element="place">
        <w:smartTag w:uri="urn:schemas-microsoft-com:office:smarttags" w:element="City">
          <w:r w:rsidRPr="00941BCA">
            <w:rPr>
              <w:b/>
              <w:sz w:val="22"/>
              <w:szCs w:val="22"/>
              <w:lang w:val="en-GB"/>
            </w:rPr>
            <w:t>Cotonou</w:t>
          </w:r>
        </w:smartTag>
      </w:smartTag>
      <w:r w:rsidRPr="00941BCA">
        <w:rPr>
          <w:b/>
          <w:sz w:val="22"/>
          <w:szCs w:val="22"/>
          <w:lang w:val="en-GB"/>
        </w:rPr>
        <w:t xml:space="preserve"> (Articles 20 and 22</w:t>
      </w:r>
      <w:r w:rsidR="003804FC" w:rsidRPr="00941BCA">
        <w:rPr>
          <w:b/>
          <w:sz w:val="22"/>
          <w:szCs w:val="22"/>
          <w:lang w:val="en-GB"/>
        </w:rPr>
        <w:t>)</w:t>
      </w:r>
    </w:p>
    <w:p w:rsidR="00495F90" w:rsidRPr="00941BCA" w:rsidRDefault="00495F90" w:rsidP="00976287">
      <w:pPr>
        <w:keepNext/>
        <w:numPr>
          <w:ilvl w:val="0"/>
          <w:numId w:val="2"/>
        </w:numPr>
        <w:spacing w:before="120" w:after="120"/>
        <w:outlineLvl w:val="0"/>
        <w:rPr>
          <w:sz w:val="22"/>
          <w:szCs w:val="22"/>
          <w:lang w:val="en-GB"/>
        </w:rPr>
      </w:pPr>
      <w:r w:rsidRPr="00941BCA">
        <w:rPr>
          <w:b/>
          <w:bCs/>
          <w:i/>
          <w:kern w:val="32"/>
          <w:sz w:val="22"/>
          <w:szCs w:val="22"/>
          <w:lang w:val="en-GB"/>
        </w:rPr>
        <w:t>Nationality and origin rules</w:t>
      </w:r>
      <w:r w:rsidR="00C133DC" w:rsidRPr="00941BCA">
        <w:rPr>
          <w:rStyle w:val="FootnoteReference"/>
          <w:b/>
          <w:bCs/>
          <w:kern w:val="32"/>
          <w:sz w:val="22"/>
          <w:szCs w:val="22"/>
          <w:lang w:val="en-GB"/>
        </w:rPr>
        <w:footnoteReference w:id="29"/>
      </w:r>
      <w:r w:rsidRPr="00941BCA">
        <w:rPr>
          <w:b/>
          <w:bCs/>
          <w:kern w:val="32"/>
          <w:sz w:val="22"/>
          <w:szCs w:val="22"/>
          <w:lang w:val="en-GB"/>
        </w:rPr>
        <w:t> :</w:t>
      </w:r>
    </w:p>
    <w:p w:rsidR="0008459D" w:rsidRPr="00941BCA" w:rsidRDefault="006B23B4" w:rsidP="00976287">
      <w:pPr>
        <w:spacing w:before="120" w:after="120"/>
        <w:ind w:left="709"/>
        <w:jc w:val="both"/>
        <w:rPr>
          <w:sz w:val="22"/>
          <w:szCs w:val="22"/>
          <w:lang w:val="en-GB"/>
        </w:rPr>
      </w:pPr>
      <w:r w:rsidRPr="00941BCA">
        <w:rPr>
          <w:sz w:val="22"/>
          <w:szCs w:val="22"/>
          <w:lang w:val="en-GB"/>
        </w:rPr>
        <w:t>A</w:t>
      </w:r>
      <w:r w:rsidR="0085411F" w:rsidRPr="00941BCA">
        <w:rPr>
          <w:sz w:val="22"/>
          <w:szCs w:val="22"/>
          <w:lang w:val="en-GB"/>
        </w:rPr>
        <w:t>rticle 20: Eligibility</w:t>
      </w:r>
    </w:p>
    <w:p w:rsidR="00383CF5" w:rsidRPr="00383CF5" w:rsidRDefault="0085411F" w:rsidP="00383CF5">
      <w:pPr>
        <w:spacing w:before="120" w:after="120"/>
        <w:ind w:left="709"/>
        <w:jc w:val="both"/>
        <w:rPr>
          <w:sz w:val="22"/>
          <w:szCs w:val="22"/>
          <w:lang w:val="en-GB"/>
        </w:rPr>
      </w:pPr>
      <w:r w:rsidRPr="00941BCA">
        <w:rPr>
          <w:sz w:val="22"/>
          <w:szCs w:val="22"/>
          <w:lang w:val="en-GB"/>
        </w:rPr>
        <w:t xml:space="preserve">Save where a derogation is granted in accordance with Article 22, and without prejudice to </w:t>
      </w:r>
      <w:r w:rsidR="00F02E7F">
        <w:rPr>
          <w:sz w:val="22"/>
          <w:szCs w:val="22"/>
          <w:lang w:val="en-GB"/>
        </w:rPr>
        <w:br/>
      </w:r>
      <w:r w:rsidRPr="00941BCA">
        <w:rPr>
          <w:sz w:val="22"/>
          <w:szCs w:val="22"/>
          <w:lang w:val="en-GB"/>
        </w:rPr>
        <w:t>Article 26:</w:t>
      </w:r>
    </w:p>
    <w:p w:rsidR="00383CF5" w:rsidRPr="00383CF5" w:rsidRDefault="00383CF5" w:rsidP="00383CF5">
      <w:pPr>
        <w:numPr>
          <w:ilvl w:val="0"/>
          <w:numId w:val="8"/>
        </w:numPr>
        <w:spacing w:before="120" w:after="120"/>
        <w:jc w:val="both"/>
        <w:rPr>
          <w:sz w:val="22"/>
          <w:szCs w:val="22"/>
          <w:lang w:val="en-GB"/>
        </w:rPr>
      </w:pPr>
      <w:r w:rsidRPr="00383CF5">
        <w:rPr>
          <w:sz w:val="22"/>
          <w:szCs w:val="22"/>
          <w:lang w:val="en-GB"/>
        </w:rPr>
        <w:t>Participation in procedures for the awarding of procurement contracts or grants financed from the multi-annual financial framework of cooperation under this Agreement shall be open to:</w:t>
      </w:r>
    </w:p>
    <w:p w:rsidR="00383CF5" w:rsidRPr="00383CF5" w:rsidRDefault="00383CF5" w:rsidP="00776F45">
      <w:pPr>
        <w:numPr>
          <w:ilvl w:val="1"/>
          <w:numId w:val="8"/>
        </w:numPr>
        <w:tabs>
          <w:tab w:val="clear" w:pos="2149"/>
          <w:tab w:val="num" w:pos="1701"/>
        </w:tabs>
        <w:spacing w:before="120" w:after="120"/>
        <w:ind w:left="1701"/>
        <w:jc w:val="both"/>
        <w:rPr>
          <w:sz w:val="22"/>
          <w:szCs w:val="22"/>
          <w:lang w:val="en-GB"/>
        </w:rPr>
      </w:pPr>
      <w:r w:rsidRPr="00383CF5">
        <w:rPr>
          <w:sz w:val="22"/>
          <w:szCs w:val="22"/>
          <w:lang w:val="en-GB"/>
        </w:rPr>
        <w:t>all natural persons who are nationals of, or legal persons who are established in, an ACP State, a Member State of the European Community, an official candidate country of the European Community or a Member State of the European Economic Area;</w:t>
      </w:r>
    </w:p>
    <w:p w:rsidR="00383CF5" w:rsidRPr="00383CF5" w:rsidRDefault="00383CF5" w:rsidP="00776F45">
      <w:pPr>
        <w:numPr>
          <w:ilvl w:val="1"/>
          <w:numId w:val="8"/>
        </w:numPr>
        <w:tabs>
          <w:tab w:val="clear" w:pos="2149"/>
          <w:tab w:val="num" w:pos="1701"/>
        </w:tabs>
        <w:spacing w:before="120" w:after="120"/>
        <w:ind w:left="1701"/>
        <w:jc w:val="both"/>
        <w:rPr>
          <w:sz w:val="22"/>
          <w:szCs w:val="22"/>
          <w:lang w:val="en-GB"/>
        </w:rPr>
      </w:pPr>
      <w:r w:rsidRPr="00383CF5">
        <w:rPr>
          <w:sz w:val="22"/>
          <w:szCs w:val="22"/>
          <w:lang w:val="en-GB"/>
        </w:rPr>
        <w:t>all natural persons who are nationals of, or legal persons who are established in, a Least Developed Country as defined by the United Nations.</w:t>
      </w:r>
    </w:p>
    <w:p w:rsidR="00383CF5" w:rsidRPr="00383CF5" w:rsidRDefault="00383CF5" w:rsidP="00776F45">
      <w:pPr>
        <w:numPr>
          <w:ilvl w:val="0"/>
          <w:numId w:val="10"/>
        </w:numPr>
        <w:tabs>
          <w:tab w:val="clear" w:pos="502"/>
          <w:tab w:val="num" w:pos="1418"/>
          <w:tab w:val="num" w:pos="1701"/>
        </w:tabs>
        <w:spacing w:before="120" w:after="120"/>
        <w:ind w:left="1418"/>
        <w:jc w:val="both"/>
        <w:rPr>
          <w:sz w:val="22"/>
          <w:szCs w:val="22"/>
          <w:lang w:val="en-GB"/>
        </w:rPr>
      </w:pPr>
      <w:r w:rsidRPr="00383CF5">
        <w:rPr>
          <w:sz w:val="22"/>
          <w:szCs w:val="22"/>
          <w:lang w:val="en-GB"/>
        </w:rPr>
        <w:t>Participation in procedures for the awarding of procurement contracts or grants financed from the multi-annual financial framework of cooperation under this Agreement shall be open to all natural persons who are nationals of, or legal persons established in, any country other than those referred to in paragraph 1, where reciprocal access to external assistance has been established. Reciprocal access in the Least Developed Countries as defined by the United Nations shall be automatically granted to the OECD/DAC members.</w:t>
      </w:r>
    </w:p>
    <w:p w:rsidR="00383CF5" w:rsidRPr="00383CF5" w:rsidRDefault="00383CF5" w:rsidP="00383CF5">
      <w:pPr>
        <w:spacing w:before="120" w:after="120"/>
        <w:ind w:left="1418"/>
        <w:jc w:val="both"/>
        <w:rPr>
          <w:sz w:val="22"/>
          <w:szCs w:val="22"/>
          <w:lang w:val="en-GB"/>
        </w:rPr>
      </w:pPr>
      <w:r w:rsidRPr="00383CF5">
        <w:rPr>
          <w:sz w:val="22"/>
          <w:szCs w:val="22"/>
          <w:lang w:val="en-GB"/>
        </w:rPr>
        <w:t>Reciprocal access shall be established by means of a specific Commission decision concerning a given country or a given regional group of countries. The decision shall be adopted by the Commission in agreement with the ACP States and shall be in force for a minimum period of one year.</w:t>
      </w:r>
    </w:p>
    <w:p w:rsidR="00383CF5" w:rsidRPr="00383CF5" w:rsidRDefault="00383CF5" w:rsidP="007F426C">
      <w:pPr>
        <w:numPr>
          <w:ilvl w:val="0"/>
          <w:numId w:val="14"/>
        </w:numPr>
        <w:tabs>
          <w:tab w:val="clear" w:pos="2138"/>
          <w:tab w:val="num" w:pos="1418"/>
        </w:tabs>
        <w:spacing w:before="120" w:after="120"/>
        <w:ind w:left="1418"/>
        <w:jc w:val="both"/>
        <w:rPr>
          <w:sz w:val="22"/>
          <w:szCs w:val="22"/>
          <w:lang w:val="en-GB"/>
        </w:rPr>
      </w:pPr>
      <w:r w:rsidRPr="00383CF5">
        <w:rPr>
          <w:sz w:val="22"/>
          <w:szCs w:val="22"/>
          <w:lang w:val="en-GB"/>
        </w:rPr>
        <w:t>Services under a contract financed from the multi-annual financial framework of cooperation under this Agreement may be provided by experts of any nationality, without prejudice to the qualitative and financial requirements set out in the Community’s procurement rules.</w:t>
      </w:r>
    </w:p>
    <w:p w:rsidR="00383CF5" w:rsidRDefault="00383CF5" w:rsidP="007F426C">
      <w:pPr>
        <w:numPr>
          <w:ilvl w:val="1"/>
          <w:numId w:val="14"/>
        </w:numPr>
        <w:tabs>
          <w:tab w:val="clear" w:pos="2138"/>
          <w:tab w:val="num" w:pos="1418"/>
        </w:tabs>
        <w:spacing w:before="120" w:after="120"/>
        <w:ind w:left="1418"/>
        <w:jc w:val="both"/>
        <w:rPr>
          <w:sz w:val="22"/>
          <w:szCs w:val="22"/>
          <w:lang w:val="en-GB"/>
        </w:rPr>
      </w:pPr>
      <w:r w:rsidRPr="00383CF5">
        <w:rPr>
          <w:sz w:val="22"/>
          <w:szCs w:val="22"/>
          <w:lang w:val="en-GB"/>
        </w:rPr>
        <w:t>Supplies and materials purchased under a contract financed from the multi-annual financial framework of cooperation under this Agreement must</w:t>
      </w:r>
      <w:r w:rsidR="007F426C">
        <w:rPr>
          <w:sz w:val="22"/>
          <w:szCs w:val="22"/>
          <w:lang w:val="en-GB"/>
        </w:rPr>
        <w:t xml:space="preserve"> </w:t>
      </w:r>
      <w:r w:rsidR="007F426C" w:rsidRPr="007F426C">
        <w:rPr>
          <w:sz w:val="22"/>
          <w:szCs w:val="22"/>
          <w:lang w:val="en-GB"/>
        </w:rPr>
        <w:t>originate in a State that is eligible under paragraphs 1 or 1a. In this context, the definition of the concept of “originating products” shall be assessed by reference to the relevant international agreements, and supplies originating in the Community shall include supplies originating in the Overseas Countries and Territories.</w:t>
      </w:r>
    </w:p>
    <w:p w:rsidR="007F426C" w:rsidRDefault="007F426C" w:rsidP="007F426C">
      <w:pPr>
        <w:numPr>
          <w:ilvl w:val="1"/>
          <w:numId w:val="14"/>
        </w:numPr>
        <w:tabs>
          <w:tab w:val="clear" w:pos="2138"/>
          <w:tab w:val="num" w:pos="1418"/>
        </w:tabs>
        <w:spacing w:before="120" w:after="120"/>
        <w:ind w:left="1418"/>
        <w:jc w:val="both"/>
        <w:rPr>
          <w:sz w:val="22"/>
          <w:szCs w:val="22"/>
          <w:lang w:val="en-GB"/>
        </w:rPr>
      </w:pPr>
      <w:r w:rsidRPr="007F426C">
        <w:rPr>
          <w:sz w:val="22"/>
          <w:szCs w:val="22"/>
          <w:lang w:val="en-GB"/>
        </w:rPr>
        <w:t>Participation in procedures for the awarding of procurement contracts or grants financed from the multi-annual financial framework of cooperation under this Agreement shall be open to international organisations.</w:t>
      </w:r>
    </w:p>
    <w:p w:rsidR="007F426C" w:rsidRDefault="007F426C" w:rsidP="007F426C">
      <w:pPr>
        <w:numPr>
          <w:ilvl w:val="1"/>
          <w:numId w:val="14"/>
        </w:numPr>
        <w:tabs>
          <w:tab w:val="clear" w:pos="2138"/>
          <w:tab w:val="num" w:pos="1418"/>
        </w:tabs>
        <w:spacing w:before="120" w:after="120"/>
        <w:ind w:left="1418"/>
        <w:jc w:val="both"/>
        <w:rPr>
          <w:sz w:val="22"/>
          <w:szCs w:val="22"/>
          <w:lang w:val="en-GB"/>
        </w:rPr>
      </w:pPr>
      <w:r w:rsidRPr="007F426C">
        <w:rPr>
          <w:sz w:val="22"/>
          <w:szCs w:val="22"/>
          <w:lang w:val="en-GB"/>
        </w:rPr>
        <w:lastRenderedPageBreak/>
        <w:t>Whenever the multi-annual financial framework of cooperation under this Agreement finances an operation implemented through an international organisation, participation in procedures for the awarding of procurement contracts or grants shall be open to all natural and legal persons who are eligible under paragraphs 1 or 1a, and to all natural and legal persons who are eligible according to the rules of the organisation, care being taken to ensure equal treatment of all donors. The same rules apply for supplies and materials.</w:t>
      </w:r>
    </w:p>
    <w:p w:rsidR="007F426C" w:rsidRDefault="007F426C" w:rsidP="007F426C">
      <w:pPr>
        <w:numPr>
          <w:ilvl w:val="1"/>
          <w:numId w:val="14"/>
        </w:numPr>
        <w:tabs>
          <w:tab w:val="clear" w:pos="2138"/>
          <w:tab w:val="num" w:pos="1418"/>
        </w:tabs>
        <w:spacing w:before="120" w:after="120"/>
        <w:ind w:left="1418"/>
        <w:jc w:val="both"/>
        <w:rPr>
          <w:sz w:val="22"/>
          <w:szCs w:val="22"/>
          <w:lang w:val="en-GB"/>
        </w:rPr>
      </w:pPr>
      <w:r w:rsidRPr="007F426C">
        <w:rPr>
          <w:sz w:val="22"/>
          <w:szCs w:val="22"/>
          <w:lang w:val="en-GB"/>
        </w:rPr>
        <w:t>Whenever the multi-annual financial framework of cooperation under this Agreement finances an operation implemented as part of a regional initiative, participation in procedures for the awarding of procurement contracts or grants shall be open to all natural and legal persons who are eligible under paragraphs 1 or 1a, and to all natural and legal persons from a country participating in the relevant initiative. The same rules apply for supplies and materials.</w:t>
      </w:r>
    </w:p>
    <w:p w:rsidR="007F426C" w:rsidRPr="00383CF5" w:rsidRDefault="007F426C" w:rsidP="007F426C">
      <w:pPr>
        <w:numPr>
          <w:ilvl w:val="1"/>
          <w:numId w:val="14"/>
        </w:numPr>
        <w:tabs>
          <w:tab w:val="clear" w:pos="2138"/>
          <w:tab w:val="num" w:pos="1418"/>
        </w:tabs>
        <w:spacing w:before="120" w:after="120"/>
        <w:ind w:left="1418"/>
        <w:jc w:val="both"/>
        <w:rPr>
          <w:sz w:val="22"/>
          <w:szCs w:val="22"/>
          <w:lang w:val="en-GB"/>
        </w:rPr>
      </w:pPr>
      <w:r w:rsidRPr="007F426C">
        <w:rPr>
          <w:sz w:val="22"/>
          <w:szCs w:val="22"/>
          <w:lang w:val="en-GB"/>
        </w:rPr>
        <w:t>Whenever the multi-annual financial framework of cooperation under this Agreement finances an operation co-financed with a third State, participation in procedures for the awarding of procurement contracts or grants shall be open to all natural and legal persons eligible under paragraphs 1 or 1a, and to all persons eligible under the rules of the above mentioned third State. The same rules apply for supplies and materials.</w:t>
      </w:r>
    </w:p>
    <w:p w:rsidR="0085411F" w:rsidRDefault="001B76CE" w:rsidP="00976287">
      <w:pPr>
        <w:spacing w:before="120" w:after="120"/>
        <w:ind w:left="709" w:firstLine="11"/>
        <w:jc w:val="both"/>
        <w:rPr>
          <w:sz w:val="22"/>
          <w:szCs w:val="22"/>
          <w:lang w:val="en-GB"/>
        </w:rPr>
      </w:pPr>
      <w:r>
        <w:rPr>
          <w:sz w:val="22"/>
          <w:szCs w:val="22"/>
          <w:lang w:val="en-GB"/>
        </w:rPr>
        <w:t>A</w:t>
      </w:r>
      <w:r w:rsidR="0085411F" w:rsidRPr="00941BCA">
        <w:rPr>
          <w:sz w:val="22"/>
          <w:szCs w:val="22"/>
          <w:lang w:val="en-GB"/>
        </w:rPr>
        <w:t>rticle 22: Derogations</w:t>
      </w:r>
    </w:p>
    <w:p w:rsidR="00716545" w:rsidRDefault="00716545" w:rsidP="00716545">
      <w:pPr>
        <w:numPr>
          <w:ilvl w:val="1"/>
          <w:numId w:val="17"/>
        </w:numPr>
        <w:spacing w:before="120" w:after="120"/>
        <w:jc w:val="both"/>
        <w:rPr>
          <w:sz w:val="22"/>
          <w:szCs w:val="22"/>
          <w:lang w:val="en-GB"/>
        </w:rPr>
      </w:pPr>
      <w:r w:rsidRPr="00716545">
        <w:rPr>
          <w:sz w:val="22"/>
          <w:szCs w:val="22"/>
          <w:lang w:val="en-GB"/>
        </w:rPr>
        <w:t xml:space="preserve">In exceptional duly substantiated circumstances, natural or legal persons from third countries not eligible under Article 20 may be authorised to participate in procedures for the awarding of procurement contracts or grants financed by the Community from the multi-annual financial framework of cooperation under this Agreement at the justified request of the ACP State or the relevant organisation or body at regional or intra-ACP level. The </w:t>
      </w:r>
      <w:smartTag w:uri="urn:schemas-microsoft-com:office:smarttags" w:element="place">
        <w:smartTag w:uri="urn:schemas-microsoft-com:office:smarttags" w:element="PlaceName">
          <w:r w:rsidRPr="00716545">
            <w:rPr>
              <w:sz w:val="22"/>
              <w:szCs w:val="22"/>
              <w:lang w:val="en-GB"/>
            </w:rPr>
            <w:t>ACP</w:t>
          </w:r>
        </w:smartTag>
        <w:r w:rsidRPr="00716545">
          <w:rPr>
            <w:sz w:val="22"/>
            <w:szCs w:val="22"/>
            <w:lang w:val="en-GB"/>
          </w:rPr>
          <w:t xml:space="preserve"> </w:t>
        </w:r>
        <w:smartTag w:uri="urn:schemas-microsoft-com:office:smarttags" w:element="PlaceType">
          <w:r w:rsidRPr="00716545">
            <w:rPr>
              <w:sz w:val="22"/>
              <w:szCs w:val="22"/>
              <w:lang w:val="en-GB"/>
            </w:rPr>
            <w:t>State</w:t>
          </w:r>
        </w:smartTag>
      </w:smartTag>
      <w:r w:rsidRPr="00716545">
        <w:rPr>
          <w:sz w:val="22"/>
          <w:szCs w:val="22"/>
          <w:lang w:val="en-GB"/>
        </w:rPr>
        <w:t xml:space="preserve"> or the relevant organisation or</w:t>
      </w:r>
      <w:r>
        <w:rPr>
          <w:sz w:val="22"/>
          <w:szCs w:val="22"/>
          <w:lang w:val="en-GB"/>
        </w:rPr>
        <w:t xml:space="preserve"> </w:t>
      </w:r>
      <w:r w:rsidRPr="00716545">
        <w:rPr>
          <w:sz w:val="22"/>
          <w:szCs w:val="22"/>
          <w:lang w:val="en-GB"/>
        </w:rPr>
        <w:t>body at regional or intra-ACP level shall, on each occasion, provide the Commission with the information needed to decide on such derogation, with particular attention being given to:</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 xml:space="preserve">the geographical location of the </w:t>
      </w:r>
      <w:smartTag w:uri="urn:schemas-microsoft-com:office:smarttags" w:element="place">
        <w:smartTag w:uri="urn:schemas-microsoft-com:office:smarttags" w:element="PlaceName">
          <w:r w:rsidRPr="00716545">
            <w:rPr>
              <w:sz w:val="22"/>
              <w:szCs w:val="22"/>
              <w:lang w:val="en-GB"/>
            </w:rPr>
            <w:t>ACP</w:t>
          </w:r>
        </w:smartTag>
        <w:r w:rsidRPr="00716545">
          <w:rPr>
            <w:sz w:val="22"/>
            <w:szCs w:val="22"/>
            <w:lang w:val="en-GB"/>
          </w:rPr>
          <w:t xml:space="preserve"> </w:t>
        </w:r>
        <w:smartTag w:uri="urn:schemas-microsoft-com:office:smarttags" w:element="PlaceType">
          <w:r w:rsidRPr="00716545">
            <w:rPr>
              <w:sz w:val="22"/>
              <w:szCs w:val="22"/>
              <w:lang w:val="en-GB"/>
            </w:rPr>
            <w:t>State</w:t>
          </w:r>
        </w:smartTag>
      </w:smartTag>
      <w:r w:rsidRPr="00716545">
        <w:rPr>
          <w:sz w:val="22"/>
          <w:szCs w:val="22"/>
          <w:lang w:val="en-GB"/>
        </w:rPr>
        <w:t xml:space="preserve"> or region concerned;</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 xml:space="preserve">the competitiveness of contractors, suppliers and consultants from the </w:t>
      </w:r>
      <w:smartTag w:uri="urn:schemas-microsoft-com:office:smarttags" w:element="PlaceName">
        <w:r w:rsidRPr="00716545">
          <w:rPr>
            <w:sz w:val="22"/>
            <w:szCs w:val="22"/>
            <w:lang w:val="en-GB"/>
          </w:rPr>
          <w:t>Member</w:t>
        </w:r>
      </w:smartTag>
      <w:r w:rsidRPr="00716545">
        <w:rPr>
          <w:sz w:val="22"/>
          <w:szCs w:val="22"/>
          <w:lang w:val="en-GB"/>
        </w:rPr>
        <w:t xml:space="preserve"> </w:t>
      </w:r>
      <w:smartTag w:uri="urn:schemas-microsoft-com:office:smarttags" w:element="PlaceType">
        <w:r w:rsidRPr="00716545">
          <w:rPr>
            <w:sz w:val="22"/>
            <w:szCs w:val="22"/>
            <w:lang w:val="en-GB"/>
          </w:rPr>
          <w:t>States</w:t>
        </w:r>
      </w:smartTag>
      <w:r w:rsidRPr="00716545">
        <w:rPr>
          <w:sz w:val="22"/>
          <w:szCs w:val="22"/>
          <w:lang w:val="en-GB"/>
        </w:rPr>
        <w:t xml:space="preserve"> and the </w:t>
      </w:r>
      <w:smartTag w:uri="urn:schemas-microsoft-com:office:smarttags" w:element="place">
        <w:smartTag w:uri="urn:schemas-microsoft-com:office:smarttags" w:element="PlaceName">
          <w:r w:rsidRPr="00716545">
            <w:rPr>
              <w:sz w:val="22"/>
              <w:szCs w:val="22"/>
              <w:lang w:val="en-GB"/>
            </w:rPr>
            <w:t>ACP</w:t>
          </w:r>
        </w:smartTag>
        <w:r w:rsidRPr="00716545">
          <w:rPr>
            <w:sz w:val="22"/>
            <w:szCs w:val="22"/>
            <w:lang w:val="en-GB"/>
          </w:rPr>
          <w:t xml:space="preserve"> </w:t>
        </w:r>
        <w:smartTag w:uri="urn:schemas-microsoft-com:office:smarttags" w:element="PlaceType">
          <w:r w:rsidRPr="00716545">
            <w:rPr>
              <w:sz w:val="22"/>
              <w:szCs w:val="22"/>
              <w:lang w:val="en-GB"/>
            </w:rPr>
            <w:t>States</w:t>
          </w:r>
        </w:smartTag>
      </w:smartTag>
      <w:r w:rsidRPr="00716545">
        <w:rPr>
          <w:sz w:val="22"/>
          <w:szCs w:val="22"/>
          <w:lang w:val="en-GB"/>
        </w:rPr>
        <w:t>;</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the need to avoid excessive increases in the cost of performance of the contract;</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transport difficulties or delays due to delivery times or other similar problems;</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technology that is the most appropriate and best suited to local conditions;</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cases of extreme urgency;</w:t>
      </w:r>
    </w:p>
    <w:p w:rsidR="00716545" w:rsidRDefault="00716545" w:rsidP="00716545">
      <w:pPr>
        <w:numPr>
          <w:ilvl w:val="2"/>
          <w:numId w:val="17"/>
        </w:numPr>
        <w:tabs>
          <w:tab w:val="num" w:pos="2127"/>
        </w:tabs>
        <w:spacing w:before="120" w:after="120"/>
        <w:ind w:left="2127"/>
        <w:jc w:val="both"/>
        <w:rPr>
          <w:sz w:val="22"/>
          <w:szCs w:val="22"/>
          <w:lang w:val="en-GB"/>
        </w:rPr>
      </w:pPr>
      <w:r w:rsidRPr="00716545">
        <w:rPr>
          <w:sz w:val="22"/>
          <w:szCs w:val="22"/>
          <w:lang w:val="en-GB"/>
        </w:rPr>
        <w:t>the availability of products and services in the relevant markets.</w:t>
      </w:r>
    </w:p>
    <w:p w:rsidR="00716545" w:rsidRPr="00716545" w:rsidRDefault="00716545" w:rsidP="00716545">
      <w:pPr>
        <w:numPr>
          <w:ilvl w:val="1"/>
          <w:numId w:val="17"/>
        </w:numPr>
        <w:spacing w:before="120" w:after="120"/>
        <w:jc w:val="both"/>
        <w:rPr>
          <w:sz w:val="22"/>
          <w:szCs w:val="22"/>
          <w:lang w:val="en-GB"/>
        </w:rPr>
      </w:pPr>
      <w:r w:rsidRPr="00716545">
        <w:rPr>
          <w:sz w:val="22"/>
          <w:szCs w:val="22"/>
          <w:lang w:val="en-GB"/>
        </w:rPr>
        <w:t>In the case of projects financed from the</w:t>
      </w:r>
      <w:r w:rsidR="002F66B8">
        <w:rPr>
          <w:sz w:val="22"/>
          <w:szCs w:val="22"/>
          <w:lang w:val="en-GB"/>
        </w:rPr>
        <w:t xml:space="preserve"> </w:t>
      </w:r>
      <w:r w:rsidRPr="00716545">
        <w:rPr>
          <w:sz w:val="22"/>
          <w:szCs w:val="22"/>
          <w:lang w:val="en-GB"/>
        </w:rPr>
        <w:t>Investment Facility, the procurement rules of the</w:t>
      </w:r>
      <w:r>
        <w:rPr>
          <w:sz w:val="22"/>
          <w:szCs w:val="22"/>
          <w:lang w:val="en-GB"/>
        </w:rPr>
        <w:t xml:space="preserve"> </w:t>
      </w:r>
      <w:r w:rsidRPr="00716545">
        <w:rPr>
          <w:sz w:val="22"/>
          <w:szCs w:val="22"/>
          <w:lang w:val="en-GB"/>
        </w:rPr>
        <w:t>Bank shall apply.</w:t>
      </w:r>
    </w:p>
    <w:p w:rsidR="00495F90" w:rsidRPr="00941BCA" w:rsidRDefault="00495F90" w:rsidP="00976287">
      <w:pPr>
        <w:numPr>
          <w:ilvl w:val="0"/>
          <w:numId w:val="2"/>
        </w:numPr>
        <w:spacing w:before="120" w:after="120"/>
        <w:rPr>
          <w:b/>
          <w:sz w:val="22"/>
          <w:szCs w:val="22"/>
          <w:lang w:val="en-GB"/>
        </w:rPr>
      </w:pPr>
      <w:r w:rsidRPr="00941BCA">
        <w:rPr>
          <w:b/>
          <w:i/>
          <w:sz w:val="22"/>
          <w:szCs w:val="22"/>
          <w:lang w:val="en-GB"/>
        </w:rPr>
        <w:t>Eligible and non eligible costs </w:t>
      </w:r>
      <w:r w:rsidRPr="00941BCA">
        <w:rPr>
          <w:b/>
          <w:sz w:val="22"/>
          <w:szCs w:val="22"/>
          <w:lang w:val="en-GB"/>
        </w:rPr>
        <w:t>:</w:t>
      </w:r>
    </w:p>
    <w:p w:rsidR="00495F90" w:rsidRPr="00941BCA" w:rsidRDefault="00495F90" w:rsidP="00976287">
      <w:pPr>
        <w:spacing w:before="120" w:after="120"/>
        <w:ind w:firstLine="720"/>
        <w:rPr>
          <w:sz w:val="22"/>
          <w:szCs w:val="22"/>
          <w:lang w:val="en-GB"/>
        </w:rPr>
      </w:pPr>
      <w:r w:rsidRPr="00941BCA">
        <w:rPr>
          <w:sz w:val="22"/>
          <w:szCs w:val="22"/>
          <w:lang w:val="en-GB"/>
        </w:rPr>
        <w:sym w:font="Wingdings" w:char="F0E0"/>
      </w:r>
      <w:r w:rsidRPr="00941BCA">
        <w:rPr>
          <w:sz w:val="22"/>
          <w:szCs w:val="22"/>
          <w:lang w:val="en-GB"/>
        </w:rPr>
        <w:t xml:space="preserve"> No specific provision</w:t>
      </w:r>
    </w:p>
    <w:sectPr w:rsidR="00495F90" w:rsidRPr="00941BCA" w:rsidSect="00653F8A">
      <w:headerReference w:type="even" r:id="rId12"/>
      <w:headerReference w:type="default" r:id="rId13"/>
      <w:footerReference w:type="even" r:id="rId14"/>
      <w:footerReference w:type="default" r:id="rId15"/>
      <w:headerReference w:type="first" r:id="rId16"/>
      <w:footerReference w:type="first" r:id="rId17"/>
      <w:type w:val="continuous"/>
      <w:pgSz w:w="11913" w:h="16834" w:code="9"/>
      <w:pgMar w:top="1383" w:right="1423" w:bottom="568" w:left="1276"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D51" w:rsidRDefault="00D64D51">
      <w:r>
        <w:separator/>
      </w:r>
    </w:p>
  </w:endnote>
  <w:endnote w:type="continuationSeparator" w:id="0">
    <w:p w:rsidR="00D64D51" w:rsidRDefault="00D64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3CF" w:rsidRDefault="007443CF" w:rsidP="007957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43CF" w:rsidRDefault="007443CF" w:rsidP="007443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CA" w:rsidRPr="0018560E" w:rsidRDefault="00736516" w:rsidP="009654D8">
    <w:pPr>
      <w:pStyle w:val="Footer"/>
      <w:pBdr>
        <w:top w:val="none" w:sz="0" w:space="0" w:color="auto"/>
      </w:pBdr>
      <w:tabs>
        <w:tab w:val="clear" w:pos="4111"/>
        <w:tab w:val="clear" w:pos="8760"/>
        <w:tab w:val="right" w:pos="9214"/>
      </w:tabs>
      <w:spacing w:before="120"/>
      <w:ind w:right="357"/>
      <w:rPr>
        <w:rFonts w:ascii="Times New Roman" w:hAnsi="Times New Roman"/>
        <w:b w:val="0"/>
      </w:rPr>
    </w:pPr>
    <w:r w:rsidRPr="00736516">
      <w:rPr>
        <w:rFonts w:ascii="Times New Roman" w:hAnsi="Times New Roman"/>
        <w:szCs w:val="18"/>
      </w:rPr>
      <w:t>20</w:t>
    </w:r>
    <w:r w:rsidR="00745744">
      <w:rPr>
        <w:rFonts w:ascii="Times New Roman" w:hAnsi="Times New Roman"/>
        <w:szCs w:val="18"/>
      </w:rPr>
      <w:t>2</w:t>
    </w:r>
    <w:r w:rsidR="00833CAB">
      <w:rPr>
        <w:rFonts w:ascii="Times New Roman" w:hAnsi="Times New Roman"/>
        <w:szCs w:val="18"/>
      </w:rPr>
      <w:t>1</w:t>
    </w:r>
    <w:r w:rsidR="001F65B3">
      <w:rPr>
        <w:rFonts w:ascii="Times New Roman" w:hAnsi="Times New Roman"/>
        <w:szCs w:val="18"/>
      </w:rPr>
      <w:t>.1</w:t>
    </w:r>
    <w:r w:rsidR="002249D2" w:rsidRPr="0018560E">
      <w:rPr>
        <w:rFonts w:ascii="Times New Roman" w:hAnsi="Times New Roman"/>
        <w:b w:val="0"/>
      </w:rPr>
      <w:tab/>
    </w:r>
    <w:r w:rsidR="00F02E7F" w:rsidRPr="0018560E">
      <w:rPr>
        <w:rFonts w:ascii="Times New Roman" w:hAnsi="Times New Roman"/>
        <w:b w:val="0"/>
        <w:szCs w:val="18"/>
      </w:rPr>
      <w:t xml:space="preserve">Page </w:t>
    </w:r>
    <w:r w:rsidR="007443CF" w:rsidRPr="00A96BA3">
      <w:rPr>
        <w:rStyle w:val="PageNumber"/>
        <w:rFonts w:ascii="Times New Roman" w:hAnsi="Times New Roman"/>
        <w:b w:val="0"/>
      </w:rPr>
      <w:fldChar w:fldCharType="begin"/>
    </w:r>
    <w:r w:rsidR="007443CF" w:rsidRPr="00A96BA3">
      <w:rPr>
        <w:rStyle w:val="PageNumber"/>
        <w:rFonts w:ascii="Times New Roman" w:hAnsi="Times New Roman"/>
        <w:b w:val="0"/>
      </w:rPr>
      <w:instrText xml:space="preserve"> PAGE </w:instrText>
    </w:r>
    <w:r w:rsidR="007443CF" w:rsidRPr="00A96BA3">
      <w:rPr>
        <w:rStyle w:val="PageNumber"/>
        <w:rFonts w:ascii="Times New Roman" w:hAnsi="Times New Roman"/>
        <w:b w:val="0"/>
      </w:rPr>
      <w:fldChar w:fldCharType="separate"/>
    </w:r>
    <w:r w:rsidR="001F65B3">
      <w:rPr>
        <w:rStyle w:val="PageNumber"/>
        <w:rFonts w:ascii="Times New Roman" w:hAnsi="Times New Roman"/>
        <w:b w:val="0"/>
        <w:noProof/>
      </w:rPr>
      <w:t>11</w:t>
    </w:r>
    <w:r w:rsidR="007443CF" w:rsidRPr="00A96BA3">
      <w:rPr>
        <w:rStyle w:val="PageNumber"/>
        <w:rFonts w:ascii="Times New Roman" w:hAnsi="Times New Roman"/>
        <w:b w:val="0"/>
      </w:rPr>
      <w:fldChar w:fldCharType="end"/>
    </w:r>
    <w:r w:rsidR="00F02E7F" w:rsidRPr="0018560E">
      <w:rPr>
        <w:rFonts w:ascii="Times New Roman" w:hAnsi="Times New Roman"/>
        <w:b w:val="0"/>
        <w:szCs w:val="18"/>
      </w:rPr>
      <w:t xml:space="preserve"> of </w:t>
    </w:r>
    <w:r w:rsidR="00DC66B1" w:rsidRPr="00A96BA3">
      <w:rPr>
        <w:rStyle w:val="PageNumber"/>
        <w:rFonts w:ascii="Times New Roman" w:hAnsi="Times New Roman"/>
        <w:b w:val="0"/>
      </w:rPr>
      <w:fldChar w:fldCharType="begin"/>
    </w:r>
    <w:r w:rsidR="00DC66B1" w:rsidRPr="00A96BA3">
      <w:rPr>
        <w:rStyle w:val="PageNumber"/>
        <w:rFonts w:ascii="Times New Roman" w:hAnsi="Times New Roman"/>
        <w:b w:val="0"/>
      </w:rPr>
      <w:instrText xml:space="preserve"> NUMPAGES </w:instrText>
    </w:r>
    <w:r w:rsidR="00DC66B1" w:rsidRPr="00A96BA3">
      <w:rPr>
        <w:rStyle w:val="PageNumber"/>
        <w:rFonts w:ascii="Times New Roman" w:hAnsi="Times New Roman"/>
        <w:b w:val="0"/>
      </w:rPr>
      <w:fldChar w:fldCharType="separate"/>
    </w:r>
    <w:r w:rsidR="001F65B3">
      <w:rPr>
        <w:rStyle w:val="PageNumber"/>
        <w:rFonts w:ascii="Times New Roman" w:hAnsi="Times New Roman"/>
        <w:b w:val="0"/>
        <w:noProof/>
      </w:rPr>
      <w:t>12</w:t>
    </w:r>
    <w:r w:rsidR="00DC66B1" w:rsidRPr="00A96BA3">
      <w:rPr>
        <w:rStyle w:val="PageNumber"/>
        <w:rFonts w:ascii="Times New Roman" w:hAnsi="Times New Roman"/>
        <w:b w:val="0"/>
      </w:rPr>
      <w:fldChar w:fldCharType="end"/>
    </w:r>
    <w:r w:rsidR="00F3489B" w:rsidRPr="0018560E">
      <w:rPr>
        <w:rFonts w:ascii="Times New Roman" w:hAnsi="Times New Roman"/>
        <w:b w:val="0"/>
      </w:rPr>
      <w:tab/>
    </w:r>
  </w:p>
  <w:p w:rsidR="00F02E7F" w:rsidRPr="0081602B" w:rsidRDefault="0081602B" w:rsidP="00F02E7F">
    <w:pPr>
      <w:rPr>
        <w:sz w:val="18"/>
        <w:szCs w:val="18"/>
        <w:lang w:val="en-GB" w:eastAsia="en-US"/>
      </w:rPr>
    </w:pPr>
    <w:r w:rsidRPr="0081602B">
      <w:rPr>
        <w:sz w:val="18"/>
        <w:szCs w:val="18"/>
        <w:lang w:val="en-GB" w:eastAsia="en-US"/>
      </w:rPr>
      <w:fldChar w:fldCharType="begin"/>
    </w:r>
    <w:r w:rsidRPr="0081602B">
      <w:rPr>
        <w:sz w:val="18"/>
        <w:szCs w:val="18"/>
        <w:lang w:val="en-GB" w:eastAsia="en-US"/>
      </w:rPr>
      <w:instrText xml:space="preserve"> FILENAME </w:instrText>
    </w:r>
    <w:r w:rsidRPr="0081602B">
      <w:rPr>
        <w:sz w:val="18"/>
        <w:szCs w:val="18"/>
        <w:lang w:val="en-GB" w:eastAsia="en-US"/>
      </w:rPr>
      <w:fldChar w:fldCharType="separate"/>
    </w:r>
    <w:r w:rsidR="00036961">
      <w:rPr>
        <w:noProof/>
        <w:sz w:val="18"/>
        <w:szCs w:val="18"/>
        <w:lang w:val="en-GB" w:eastAsia="en-US"/>
      </w:rPr>
      <w:t>a2b1_ecprogrammes_en.doc</w:t>
    </w:r>
    <w:r w:rsidRPr="0081602B">
      <w:rPr>
        <w:sz w:val="18"/>
        <w:szCs w:val="18"/>
        <w:lang w:val="en-GB"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4FC" w:rsidRDefault="003804FC" w:rsidP="005C09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7D7744" w:rsidRPr="003804FC" w:rsidRDefault="003804FC" w:rsidP="003804FC">
    <w:pPr>
      <w:pStyle w:val="Footer"/>
      <w:tabs>
        <w:tab w:val="clear" w:pos="8760"/>
        <w:tab w:val="right" w:pos="10211"/>
      </w:tabs>
      <w:ind w:right="360"/>
      <w:rPr>
        <w:rFonts w:ascii="Times New Roman" w:hAnsi="Times New Roman"/>
        <w:b w:val="0"/>
        <w:sz w:val="20"/>
      </w:rPr>
    </w:pPr>
    <w:r w:rsidRPr="003804FC">
      <w:rPr>
        <w:rFonts w:ascii="Times New Roman" w:hAnsi="Times New Roman"/>
        <w:b w:val="0"/>
        <w:sz w:val="20"/>
      </w:rPr>
      <w:t>2005</w:t>
    </w:r>
    <w:r w:rsidR="007D7744" w:rsidRPr="003804FC">
      <w:rPr>
        <w:rFonts w:ascii="Times New Roman" w:hAnsi="Times New Roman"/>
        <w:b w:val="0"/>
        <w:sz w:val="20"/>
      </w:rPr>
      <w:tab/>
    </w:r>
    <w:r>
      <w:rPr>
        <w:rFonts w:ascii="Times New Roman" w:hAnsi="Times New Roman"/>
        <w:b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D51" w:rsidRDefault="00D64D51">
      <w:r>
        <w:separator/>
      </w:r>
    </w:p>
  </w:footnote>
  <w:footnote w:type="continuationSeparator" w:id="0">
    <w:p w:rsidR="00D64D51" w:rsidRDefault="00D64D51">
      <w:r>
        <w:continuationSeparator/>
      </w:r>
    </w:p>
  </w:footnote>
  <w:footnote w:id="1">
    <w:p w:rsidR="001B263C" w:rsidRPr="00036961" w:rsidRDefault="001B263C" w:rsidP="00445C79">
      <w:pPr>
        <w:pStyle w:val="FootnoteText"/>
        <w:ind w:left="0" w:firstLine="0"/>
        <w:rPr>
          <w:lang w:val="en-GB"/>
        </w:rPr>
      </w:pPr>
      <w:r>
        <w:rPr>
          <w:rStyle w:val="FootnoteReference"/>
        </w:rPr>
        <w:footnoteRef/>
      </w:r>
      <w:r w:rsidRPr="00036961">
        <w:rPr>
          <w:lang w:val="en-GB"/>
        </w:rPr>
        <w:t xml:space="preserve"> A standard notification of the new rules will be prepared.</w:t>
      </w:r>
    </w:p>
  </w:footnote>
  <w:footnote w:id="2">
    <w:p w:rsidR="007D7744" w:rsidRPr="00736516" w:rsidRDefault="007D7744" w:rsidP="00445C79">
      <w:pPr>
        <w:pStyle w:val="FootnoteText"/>
        <w:ind w:left="0" w:firstLine="0"/>
        <w:jc w:val="both"/>
        <w:rPr>
          <w:lang w:val="es-ES"/>
        </w:rPr>
      </w:pPr>
      <w:r w:rsidRPr="00CF23E3">
        <w:rPr>
          <w:rStyle w:val="FootnoteReference"/>
        </w:rPr>
        <w:footnoteRef/>
      </w:r>
      <w:r w:rsidR="00445C79" w:rsidRPr="00736516">
        <w:rPr>
          <w:lang w:val="es-ES"/>
        </w:rPr>
        <w:t xml:space="preserve"> </w:t>
      </w:r>
      <w:r w:rsidRPr="00736516">
        <w:rPr>
          <w:lang w:val="es-ES"/>
        </w:rPr>
        <w:t>OJ L 224, 6.9.2003, p. 7.</w:t>
      </w:r>
    </w:p>
  </w:footnote>
  <w:footnote w:id="3">
    <w:p w:rsidR="007D7744" w:rsidRPr="00CF23E3" w:rsidRDefault="007D7744" w:rsidP="00445C79">
      <w:pPr>
        <w:pStyle w:val="FootnoteText"/>
        <w:ind w:left="0" w:firstLine="0"/>
        <w:jc w:val="both"/>
        <w:rPr>
          <w:lang w:val="pl-PL"/>
        </w:rPr>
      </w:pPr>
      <w:r w:rsidRPr="00CF23E3">
        <w:rPr>
          <w:rStyle w:val="FootnoteReference"/>
        </w:rPr>
        <w:footnoteRef/>
      </w:r>
      <w:r w:rsidR="00445C79">
        <w:rPr>
          <w:lang w:val="pl-PL"/>
        </w:rPr>
        <w:t xml:space="preserve"> </w:t>
      </w:r>
      <w:r w:rsidRPr="00CF23E3">
        <w:rPr>
          <w:lang w:val="pl-PL"/>
        </w:rPr>
        <w:t>OJ L 224</w:t>
      </w:r>
      <w:r w:rsidRPr="00CF23E3">
        <w:rPr>
          <w:i/>
          <w:lang w:val="pl-PL"/>
        </w:rPr>
        <w:t>,</w:t>
      </w:r>
      <w:r w:rsidRPr="00CF23E3">
        <w:rPr>
          <w:lang w:val="pl-PL"/>
        </w:rPr>
        <w:t xml:space="preserve"> 6.9.2003</w:t>
      </w:r>
      <w:r w:rsidRPr="00CF23E3">
        <w:rPr>
          <w:i/>
          <w:lang w:val="pl-PL"/>
        </w:rPr>
        <w:t>,</w:t>
      </w:r>
      <w:r w:rsidRPr="00CF23E3">
        <w:rPr>
          <w:lang w:val="pl-PL"/>
        </w:rPr>
        <w:t xml:space="preserve"> p. 1.</w:t>
      </w:r>
    </w:p>
  </w:footnote>
  <w:footnote w:id="4">
    <w:p w:rsidR="007D7744" w:rsidRPr="00CF23E3" w:rsidRDefault="007D7744" w:rsidP="00445C79">
      <w:pPr>
        <w:pStyle w:val="FootnoteText"/>
        <w:ind w:left="0" w:firstLine="0"/>
        <w:jc w:val="both"/>
        <w:rPr>
          <w:lang w:val="pl-PL"/>
        </w:rPr>
      </w:pPr>
      <w:r w:rsidRPr="00CF23E3">
        <w:rPr>
          <w:rStyle w:val="FootnoteReference"/>
        </w:rPr>
        <w:footnoteRef/>
      </w:r>
      <w:r w:rsidR="00445C79">
        <w:rPr>
          <w:lang w:val="pl-PL"/>
        </w:rPr>
        <w:t xml:space="preserve"> </w:t>
      </w:r>
      <w:r w:rsidRPr="00CF23E3">
        <w:rPr>
          <w:lang w:val="pl-PL"/>
        </w:rPr>
        <w:t>OJ L 234, 1.9.2001, p. 1.</w:t>
      </w:r>
    </w:p>
  </w:footnote>
  <w:footnote w:id="5">
    <w:p w:rsidR="007D7744" w:rsidRPr="00CF23E3" w:rsidRDefault="007D7744" w:rsidP="00445C79">
      <w:pPr>
        <w:pStyle w:val="FootnoteText"/>
        <w:ind w:left="0" w:firstLine="0"/>
        <w:jc w:val="both"/>
        <w:rPr>
          <w:lang w:val="pl-PL"/>
        </w:rPr>
      </w:pPr>
      <w:r w:rsidRPr="00CF23E3">
        <w:rPr>
          <w:rStyle w:val="FootnoteReference"/>
        </w:rPr>
        <w:footnoteRef/>
      </w:r>
      <w:r w:rsidR="00445C79">
        <w:rPr>
          <w:lang w:val="pl-PL"/>
        </w:rPr>
        <w:t xml:space="preserve"> </w:t>
      </w:r>
      <w:r w:rsidRPr="00CF23E3">
        <w:rPr>
          <w:lang w:val="pl-PL"/>
        </w:rPr>
        <w:t>OJ L 288, 15.11.2000, p. 1.</w:t>
      </w:r>
    </w:p>
  </w:footnote>
  <w:footnote w:id="6">
    <w:p w:rsidR="007D7744" w:rsidRPr="00CF23E3" w:rsidRDefault="007D7744" w:rsidP="00445C79">
      <w:pPr>
        <w:pStyle w:val="FootnoteText"/>
        <w:ind w:left="0" w:firstLine="0"/>
        <w:jc w:val="both"/>
        <w:rPr>
          <w:lang w:val="pl-PL"/>
        </w:rPr>
      </w:pPr>
      <w:r w:rsidRPr="00CF23E3">
        <w:rPr>
          <w:rStyle w:val="FootnoteReference"/>
        </w:rPr>
        <w:footnoteRef/>
      </w:r>
      <w:r w:rsidR="00445C79">
        <w:rPr>
          <w:lang w:val="pl-PL"/>
        </w:rPr>
        <w:t xml:space="preserve"> </w:t>
      </w:r>
      <w:r w:rsidRPr="00CF23E3">
        <w:rPr>
          <w:lang w:val="pl-PL"/>
        </w:rPr>
        <w:t>OJ L 288, 15.11.2000, p. 6.</w:t>
      </w:r>
    </w:p>
  </w:footnote>
  <w:footnote w:id="7">
    <w:p w:rsidR="007D7744" w:rsidRPr="00CF23E3" w:rsidRDefault="007D7744" w:rsidP="00445C79">
      <w:pPr>
        <w:pStyle w:val="FootnoteText"/>
        <w:ind w:left="0" w:firstLine="0"/>
        <w:jc w:val="both"/>
        <w:rPr>
          <w:lang w:val="en-GB"/>
        </w:rPr>
      </w:pPr>
      <w:r w:rsidRPr="00CF23E3">
        <w:rPr>
          <w:rStyle w:val="FootnoteReference"/>
        </w:rPr>
        <w:footnoteRef/>
      </w:r>
      <w:r w:rsidR="00445C79" w:rsidRPr="00736516">
        <w:rPr>
          <w:lang w:val="es-ES"/>
        </w:rPr>
        <w:t xml:space="preserve"> </w:t>
      </w:r>
      <w:r w:rsidRPr="00736516">
        <w:rPr>
          <w:lang w:val="es-ES"/>
        </w:rPr>
        <w:t xml:space="preserve">OJ L 120, 8.5.1999, p. 1. </w:t>
      </w:r>
      <w:r w:rsidRPr="00CF23E3">
        <w:rPr>
          <w:lang w:val="en-GB"/>
        </w:rPr>
        <w:t>Regulation as last amended by Regulation (EC) No 2240/2004 of the European Parliament and of the Council (OJ L 390, 31.12.2004, p. 3).</w:t>
      </w:r>
    </w:p>
  </w:footnote>
  <w:footnote w:id="8">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354, 30.12.1998, p. 5. Regulation as amended by Regulation (EC) No 1882/2003.</w:t>
      </w:r>
    </w:p>
  </w:footnote>
  <w:footnote w:id="9">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213, 30.7.1998, p. 1. Regulation as amended by Regulation (EC) No 1882/2003.</w:t>
      </w:r>
    </w:p>
  </w:footnote>
  <w:footnote w:id="10">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287, 21.10.1997, p. 1. Regulation as amended by Regulation (EC) No 1882/2003.</w:t>
      </w:r>
    </w:p>
  </w:footnote>
  <w:footnote w:id="11">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306, 28.11.1996, p. 1. Regulation as amended by Regulation (EC) No 1882/2003.</w:t>
      </w:r>
    </w:p>
  </w:footnote>
  <w:footnote w:id="12">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166, 5.7.1996, p. 1. Regulation as last amended by Regulation (EC) No 1882/2003.</w:t>
      </w:r>
    </w:p>
  </w:footnote>
  <w:footnote w:id="13">
    <w:p w:rsidR="00203750" w:rsidRPr="00CF23E3" w:rsidRDefault="00203750" w:rsidP="00445C79">
      <w:pPr>
        <w:pStyle w:val="FootnoteText"/>
        <w:ind w:left="0" w:firstLine="0"/>
        <w:jc w:val="both"/>
        <w:rPr>
          <w:i/>
          <w:lang w:val="en-GB"/>
        </w:rPr>
      </w:pPr>
      <w:r w:rsidRPr="00445C79">
        <w:rPr>
          <w:rStyle w:val="FootnoteReference"/>
        </w:rPr>
        <w:footnoteRef/>
      </w:r>
      <w:r w:rsidR="00445C79" w:rsidRPr="002745DB">
        <w:rPr>
          <w:lang w:val="en-GB"/>
        </w:rPr>
        <w:t xml:space="preserve"> </w:t>
      </w:r>
      <w:r w:rsidR="00445C79">
        <w:rPr>
          <w:rStyle w:val="Emphasis"/>
          <w:i w:val="0"/>
          <w:lang w:val="en-GB"/>
        </w:rPr>
        <w:t>OJ</w:t>
      </w:r>
      <w:r w:rsidRPr="00CF23E3">
        <w:rPr>
          <w:rStyle w:val="Emphasis"/>
          <w:i w:val="0"/>
          <w:lang w:val="en-GB"/>
        </w:rPr>
        <w:t xml:space="preserve"> L 234, 1.9.2001, p. 6.</w:t>
      </w:r>
    </w:p>
  </w:footnote>
  <w:footnote w:id="14">
    <w:p w:rsidR="00213F8C" w:rsidRPr="00213F8C" w:rsidRDefault="00213F8C" w:rsidP="00445C79">
      <w:pPr>
        <w:pStyle w:val="FootnoteText"/>
        <w:tabs>
          <w:tab w:val="left" w:pos="709"/>
        </w:tabs>
        <w:ind w:left="0" w:firstLine="0"/>
        <w:jc w:val="both"/>
        <w:rPr>
          <w:lang w:val="en-GB"/>
        </w:rPr>
      </w:pPr>
      <w:r w:rsidRPr="00CF23E3">
        <w:rPr>
          <w:rStyle w:val="FootnoteReference"/>
        </w:rPr>
        <w:footnoteRef/>
      </w:r>
      <w:r w:rsidR="00445C79">
        <w:rPr>
          <w:lang w:val="en-GB"/>
        </w:rPr>
        <w:t xml:space="preserve"> </w:t>
      </w:r>
      <w:r w:rsidRPr="00CF23E3">
        <w:rPr>
          <w:lang w:val="en-GB"/>
        </w:rPr>
        <w:t xml:space="preserve">OJ L 120, 8.5.1999, p. 8. Regulation as last amended by Regulation </w:t>
      </w:r>
      <w:r w:rsidRPr="00CF23E3">
        <w:rPr>
          <w:bCs/>
          <w:lang w:val="en-GB"/>
        </w:rPr>
        <w:t xml:space="preserve">n° 2242/2004 (OJ L 390, 31.12.2004, </w:t>
      </w:r>
      <w:r w:rsidRPr="00CF23E3">
        <w:rPr>
          <w:bCs/>
          <w:lang w:val="en-GB"/>
        </w:rPr>
        <w:br/>
        <w:t>p. 21).</w:t>
      </w:r>
    </w:p>
  </w:footnote>
  <w:footnote w:id="15">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39, 9.2.2001, p. 1.</w:t>
      </w:r>
    </w:p>
  </w:footnote>
  <w:footnote w:id="16">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 xml:space="preserve">OJ L 287, 31.10.2001, p. 3. Regulation as amended by Regulation (EC) No 107/2005 (OJ L 23, 26.1.2005, </w:t>
      </w:r>
      <w:r w:rsidR="00500F0C" w:rsidRPr="00CF23E3">
        <w:rPr>
          <w:lang w:val="en-GB"/>
        </w:rPr>
        <w:br/>
      </w:r>
      <w:r w:rsidRPr="00CF23E3">
        <w:rPr>
          <w:lang w:val="en-GB"/>
        </w:rPr>
        <w:t>p. 1).</w:t>
      </w:r>
    </w:p>
  </w:footnote>
  <w:footnote w:id="17">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 xml:space="preserve">OJ L 198, 4.8.2000, p. 1. Regulation as amended by Regulation (EC) No 1934/2004 (OJ L 338, 13.11.2004, </w:t>
      </w:r>
      <w:r w:rsidR="00500F0C" w:rsidRPr="00CF23E3">
        <w:rPr>
          <w:lang w:val="en-GB"/>
        </w:rPr>
        <w:br/>
      </w:r>
      <w:r w:rsidRPr="00CF23E3">
        <w:rPr>
          <w:lang w:val="en-GB"/>
        </w:rPr>
        <w:t>p. 1).</w:t>
      </w:r>
    </w:p>
  </w:footnote>
  <w:footnote w:id="18">
    <w:p w:rsidR="007D7744" w:rsidRPr="00CF23E3" w:rsidRDefault="007D7744"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182, 16.7.1994, p. 4. Regulation as last amended by Regulation (EC) No 669/2004 of the European Parliament and of the Council (OJ L 105, 14.4.2004. p. 1).</w:t>
      </w:r>
    </w:p>
  </w:footnote>
  <w:footnote w:id="19">
    <w:p w:rsidR="004B3D96" w:rsidRPr="00CF23E3" w:rsidRDefault="004B3D96" w:rsidP="00445C79">
      <w:pPr>
        <w:pStyle w:val="FootnoteText"/>
        <w:ind w:left="0" w:firstLine="0"/>
        <w:jc w:val="both"/>
        <w:rPr>
          <w:lang w:val="en-GB"/>
        </w:rPr>
      </w:pPr>
      <w:r w:rsidRPr="00CF23E3">
        <w:rPr>
          <w:rStyle w:val="FootnoteReference"/>
        </w:rPr>
        <w:footnoteRef/>
      </w:r>
      <w:r w:rsidR="00445C79">
        <w:rPr>
          <w:lang w:val="en-GB"/>
        </w:rPr>
        <w:t xml:space="preserve"> </w:t>
      </w:r>
      <w:r w:rsidRPr="00CF23E3">
        <w:rPr>
          <w:lang w:val="en-GB"/>
        </w:rPr>
        <w:t>OJ L 342, 27.12.2001, p. 1</w:t>
      </w:r>
      <w:r w:rsidR="00445C79">
        <w:rPr>
          <w:lang w:val="en-GB"/>
        </w:rPr>
        <w:t>,</w:t>
      </w:r>
      <w:r w:rsidRPr="00CF23E3">
        <w:rPr>
          <w:lang w:val="en-GB"/>
        </w:rPr>
        <w:t xml:space="preserve"> as last amended by Regulation (EC) N° 850/2005 (OJ L 141, 4.6.2005, p. 1).</w:t>
      </w:r>
    </w:p>
  </w:footnote>
  <w:footnote w:id="20">
    <w:p w:rsidR="004B3D96" w:rsidRPr="00CF23E3" w:rsidRDefault="004B3D96" w:rsidP="00445C79">
      <w:pPr>
        <w:pStyle w:val="FootnoteText"/>
        <w:ind w:left="0" w:firstLine="0"/>
        <w:rPr>
          <w:lang w:val="en-GB"/>
        </w:rPr>
      </w:pPr>
      <w:r w:rsidRPr="00CF23E3">
        <w:rPr>
          <w:rStyle w:val="FootnoteReference"/>
        </w:rPr>
        <w:footnoteRef/>
      </w:r>
      <w:r w:rsidR="00445C79">
        <w:rPr>
          <w:lang w:val="en-GB"/>
        </w:rPr>
        <w:t xml:space="preserve"> </w:t>
      </w:r>
      <w:r w:rsidRPr="00CF23E3">
        <w:rPr>
          <w:lang w:val="en-GB"/>
        </w:rPr>
        <w:t>OJ L 306</w:t>
      </w:r>
      <w:r w:rsidR="00445C79">
        <w:rPr>
          <w:lang w:val="en-GB"/>
        </w:rPr>
        <w:t>,</w:t>
      </w:r>
      <w:r w:rsidRPr="00CF23E3">
        <w:rPr>
          <w:lang w:val="en-GB"/>
        </w:rPr>
        <w:t xml:space="preserve"> 7.12.2004, p. 1</w:t>
      </w:r>
      <w:r w:rsidR="00445C79">
        <w:rPr>
          <w:lang w:val="en-GB"/>
        </w:rPr>
        <w:t>,</w:t>
      </w:r>
      <w:r w:rsidRPr="00CF23E3">
        <w:rPr>
          <w:lang w:val="en-GB"/>
        </w:rPr>
        <w:t xml:space="preserve"> as last amended by Regulation (EC) N° 2257/2004 (OJ L 389, 30.12.2004, p. 1).</w:t>
      </w:r>
    </w:p>
  </w:footnote>
  <w:footnote w:id="21">
    <w:p w:rsidR="004B3D96" w:rsidRPr="00CF23E3" w:rsidRDefault="004B3D96" w:rsidP="00445C79">
      <w:pPr>
        <w:pStyle w:val="FootnoteText"/>
        <w:ind w:left="0" w:firstLine="0"/>
        <w:rPr>
          <w:lang w:val="en-GB"/>
        </w:rPr>
      </w:pPr>
      <w:r w:rsidRPr="00CF23E3">
        <w:rPr>
          <w:rStyle w:val="FootnoteReference"/>
        </w:rPr>
        <w:footnoteRef/>
      </w:r>
      <w:r w:rsidR="00445C79">
        <w:rPr>
          <w:lang w:val="en-GB"/>
        </w:rPr>
        <w:t xml:space="preserve"> </w:t>
      </w:r>
      <w:r w:rsidRPr="00CF23E3">
        <w:rPr>
          <w:lang w:val="en-GB"/>
        </w:rPr>
        <w:t>OJ L 12</w:t>
      </w:r>
      <w:r w:rsidR="00445C79">
        <w:rPr>
          <w:lang w:val="en-GB"/>
        </w:rPr>
        <w:t>,</w:t>
      </w:r>
      <w:r w:rsidRPr="00CF23E3">
        <w:rPr>
          <w:lang w:val="en-GB"/>
        </w:rPr>
        <w:t xml:space="preserve"> 18.1.2000, p. 1.</w:t>
      </w:r>
    </w:p>
  </w:footnote>
  <w:footnote w:id="22">
    <w:p w:rsidR="004B3D96" w:rsidRPr="00CF23E3" w:rsidRDefault="004B3D96" w:rsidP="00445C79">
      <w:pPr>
        <w:pStyle w:val="FootnoteText"/>
        <w:ind w:left="0" w:firstLine="0"/>
        <w:rPr>
          <w:lang w:val="en-GB"/>
        </w:rPr>
      </w:pPr>
      <w:r w:rsidRPr="00CF23E3">
        <w:rPr>
          <w:rStyle w:val="FootnoteReference"/>
        </w:rPr>
        <w:footnoteRef/>
      </w:r>
      <w:r w:rsidR="00445C79">
        <w:rPr>
          <w:lang w:val="en-GB"/>
        </w:rPr>
        <w:t xml:space="preserve"> </w:t>
      </w:r>
      <w:r w:rsidRPr="00CF23E3">
        <w:rPr>
          <w:lang w:val="en-GB"/>
        </w:rPr>
        <w:t>OJ L 161</w:t>
      </w:r>
      <w:r w:rsidR="00445C79">
        <w:rPr>
          <w:lang w:val="en-GB"/>
        </w:rPr>
        <w:t>,</w:t>
      </w:r>
      <w:r w:rsidRPr="00CF23E3">
        <w:rPr>
          <w:lang w:val="en-GB"/>
        </w:rPr>
        <w:t xml:space="preserve"> 26.6.1999, p. 73, as last amended by Regulation (EC) N° 2257/2004.</w:t>
      </w:r>
    </w:p>
  </w:footnote>
  <w:footnote w:id="23">
    <w:p w:rsidR="007F666C" w:rsidRPr="00CF23E3" w:rsidRDefault="007F666C" w:rsidP="00445C79">
      <w:pPr>
        <w:pStyle w:val="FootnoteText"/>
        <w:ind w:left="0" w:firstLine="0"/>
        <w:jc w:val="both"/>
        <w:rPr>
          <w:lang w:val="en-GB"/>
        </w:rPr>
      </w:pPr>
      <w:r w:rsidRPr="00CF23E3">
        <w:rPr>
          <w:rStyle w:val="FootnoteReference"/>
        </w:rPr>
        <w:footnoteRef/>
      </w:r>
      <w:r w:rsidRPr="00CF23E3">
        <w:rPr>
          <w:lang w:val="en-GB"/>
        </w:rPr>
        <w:t xml:space="preserve"> OJ L 161</w:t>
      </w:r>
      <w:r w:rsidR="00445C79">
        <w:rPr>
          <w:lang w:val="en-GB"/>
        </w:rPr>
        <w:t>,</w:t>
      </w:r>
      <w:r w:rsidRPr="00CF23E3">
        <w:rPr>
          <w:lang w:val="en-GB"/>
        </w:rPr>
        <w:t xml:space="preserve"> 26.6.1999, p. 87, as last amended by Regulation (EC) N° 2257/2004.</w:t>
      </w:r>
    </w:p>
  </w:footnote>
  <w:footnote w:id="24">
    <w:p w:rsidR="00AD1FF5" w:rsidRPr="00CF23E3" w:rsidRDefault="00AD1FF5" w:rsidP="00445C79">
      <w:pPr>
        <w:pStyle w:val="FootnoteText"/>
        <w:ind w:left="0" w:firstLine="0"/>
        <w:rPr>
          <w:lang w:val="en-GB"/>
        </w:rPr>
      </w:pPr>
      <w:r w:rsidRPr="00CF23E3">
        <w:rPr>
          <w:rStyle w:val="FootnoteReference"/>
        </w:rPr>
        <w:footnoteRef/>
      </w:r>
      <w:r w:rsidRPr="00CF23E3">
        <w:rPr>
          <w:lang w:val="en-GB"/>
        </w:rPr>
        <w:t xml:space="preserve"> OJ L 189</w:t>
      </w:r>
      <w:r w:rsidR="00445C79">
        <w:rPr>
          <w:lang w:val="en-GB"/>
        </w:rPr>
        <w:t>,</w:t>
      </w:r>
      <w:r w:rsidRPr="00CF23E3">
        <w:rPr>
          <w:lang w:val="en-GB"/>
        </w:rPr>
        <w:t xml:space="preserve"> 30.7.1996, as last amended by Regulation (EC) N° 2698/2000 (OJ L 311, 12.12.2000, p. 1).</w:t>
      </w:r>
    </w:p>
  </w:footnote>
  <w:footnote w:id="25">
    <w:p w:rsidR="00ED444D" w:rsidRPr="00CF23E3" w:rsidRDefault="00ED444D" w:rsidP="00445C79">
      <w:pPr>
        <w:pStyle w:val="FootnoteText"/>
        <w:ind w:left="0" w:firstLine="0"/>
        <w:rPr>
          <w:lang w:val="en-GB"/>
        </w:rPr>
      </w:pPr>
      <w:r w:rsidRPr="00CF23E3">
        <w:rPr>
          <w:rStyle w:val="FootnoteReference"/>
        </w:rPr>
        <w:footnoteRef/>
      </w:r>
      <w:r w:rsidRPr="00CF23E3">
        <w:rPr>
          <w:lang w:val="en-GB"/>
        </w:rPr>
        <w:t xml:space="preserve"> OJ L 181</w:t>
      </w:r>
      <w:r w:rsidR="00445C79">
        <w:rPr>
          <w:lang w:val="en-GB"/>
        </w:rPr>
        <w:t>,</w:t>
      </w:r>
      <w:r w:rsidRPr="00CF23E3">
        <w:rPr>
          <w:lang w:val="en-GB"/>
        </w:rPr>
        <w:t xml:space="preserve"> 1.7.1992, p. 1.</w:t>
      </w:r>
    </w:p>
  </w:footnote>
  <w:footnote w:id="26">
    <w:p w:rsidR="00ED444D" w:rsidRPr="00ED444D" w:rsidRDefault="00ED444D" w:rsidP="00445C79">
      <w:pPr>
        <w:pStyle w:val="FootnoteText"/>
        <w:ind w:left="0" w:firstLine="0"/>
        <w:rPr>
          <w:lang w:val="en-GB"/>
        </w:rPr>
      </w:pPr>
      <w:r w:rsidRPr="00CF23E3">
        <w:rPr>
          <w:rStyle w:val="FootnoteReference"/>
        </w:rPr>
        <w:footnoteRef/>
      </w:r>
      <w:r w:rsidRPr="00CF23E3">
        <w:rPr>
          <w:lang w:val="en-GB"/>
        </w:rPr>
        <w:t xml:space="preserve"> OJ L 52</w:t>
      </w:r>
      <w:r w:rsidR="00445C79">
        <w:rPr>
          <w:lang w:val="en-GB"/>
        </w:rPr>
        <w:t>,</w:t>
      </w:r>
      <w:r w:rsidRPr="00CF23E3">
        <w:rPr>
          <w:lang w:val="en-GB"/>
        </w:rPr>
        <w:t xml:space="preserve"> 27.2.1992,p. 1, as last amended by Regulation (EC) N° 807/2003 (OJ L 122, 16.5.2003, p. 36).</w:t>
      </w:r>
    </w:p>
  </w:footnote>
  <w:footnote w:id="27">
    <w:p w:rsidR="007D7744" w:rsidRDefault="007D7744" w:rsidP="00445C79">
      <w:pPr>
        <w:pStyle w:val="FootnoteText"/>
        <w:ind w:left="0" w:firstLine="0"/>
        <w:jc w:val="both"/>
        <w:rPr>
          <w:lang w:val="en-GB"/>
        </w:rPr>
      </w:pPr>
      <w:r>
        <w:rPr>
          <w:vertAlign w:val="superscript"/>
          <w:lang w:val="en-GB"/>
        </w:rPr>
        <w:footnoteRef/>
      </w:r>
      <w:r w:rsidR="00445C79">
        <w:rPr>
          <w:lang w:val="en-GB"/>
        </w:rPr>
        <w:t xml:space="preserve"> </w:t>
      </w:r>
      <w:r>
        <w:rPr>
          <w:lang w:val="en-GB"/>
        </w:rPr>
        <w:t>Cotonou Partnership Agreement of 23 June 2000 (as amended by the provisional application of Decision No 1/2000 of the ACP-EC Council of Ministers of 27 July 2000, Decision No 1/2000 of the ACP-EC customs cooperation committee of 18 October 2000, Decision No 1/2001 of the ACP-EC customs cooperation committee of 20 April 2001, Decision No 2/2001 of the ACP-EC customs cooperation committee of 20 April 2001, Decision No 3/2001 of the ACP-EC customs cooperation committee of 10 May 2001, Decision No 4/2001 of the ACP-EC customs cooperation committee of 27 June 2001, Decision No 5/2001 of the ACP-EC customs cooperation committee of 7 December 2001</w:t>
      </w:r>
      <w:r w:rsidRPr="009630DF">
        <w:rPr>
          <w:lang w:val="en-GB"/>
        </w:rPr>
        <w:t xml:space="preserve">, </w:t>
      </w:r>
      <w:bookmarkStart w:id="1" w:name="0"/>
      <w:r>
        <w:rPr>
          <w:lang w:val="en-GB"/>
        </w:rPr>
        <w:t>De</w:t>
      </w:r>
      <w:r w:rsidRPr="009630DF">
        <w:rPr>
          <w:lang w:val="en-GB"/>
        </w:rPr>
        <w:t xml:space="preserve">cision </w:t>
      </w:r>
      <w:r>
        <w:rPr>
          <w:lang w:val="en-GB"/>
        </w:rPr>
        <w:t>No</w:t>
      </w:r>
      <w:r w:rsidRPr="009630DF">
        <w:rPr>
          <w:lang w:val="en-GB"/>
        </w:rPr>
        <w:t xml:space="preserve"> 2/2002 </w:t>
      </w:r>
      <w:r>
        <w:rPr>
          <w:lang w:val="en-GB"/>
        </w:rPr>
        <w:t>of the ACP-EC customs cooperation committee of 28 October</w:t>
      </w:r>
      <w:r w:rsidRPr="009630DF">
        <w:rPr>
          <w:lang w:val="en-GB"/>
        </w:rPr>
        <w:t xml:space="preserve"> 2002</w:t>
      </w:r>
      <w:bookmarkEnd w:id="1"/>
      <w:r>
        <w:rPr>
          <w:lang w:val="en-GB"/>
        </w:rPr>
        <w:t>,</w:t>
      </w:r>
      <w:r w:rsidRPr="009630DF">
        <w:rPr>
          <w:rFonts w:ascii="Verdana" w:hAnsi="Verdana"/>
          <w:lang w:val="en-GB"/>
        </w:rPr>
        <w:t xml:space="preserve"> </w:t>
      </w:r>
      <w:r w:rsidRPr="009630DF">
        <w:rPr>
          <w:lang w:val="en-GB"/>
        </w:rPr>
        <w:t>D</w:t>
      </w:r>
      <w:r>
        <w:rPr>
          <w:lang w:val="en-GB"/>
        </w:rPr>
        <w:t>e</w:t>
      </w:r>
      <w:r w:rsidRPr="009630DF">
        <w:rPr>
          <w:lang w:val="en-GB"/>
        </w:rPr>
        <w:t xml:space="preserve">cision </w:t>
      </w:r>
      <w:r>
        <w:rPr>
          <w:lang w:val="en-GB"/>
        </w:rPr>
        <w:t>No</w:t>
      </w:r>
      <w:r w:rsidRPr="009630DF">
        <w:rPr>
          <w:lang w:val="en-GB"/>
        </w:rPr>
        <w:t xml:space="preserve"> 1/2003 </w:t>
      </w:r>
      <w:r>
        <w:rPr>
          <w:lang w:val="en-GB"/>
        </w:rPr>
        <w:t>of the ACP-EC</w:t>
      </w:r>
      <w:r w:rsidRPr="0043363B">
        <w:rPr>
          <w:lang w:val="en-GB"/>
        </w:rPr>
        <w:t xml:space="preserve"> </w:t>
      </w:r>
      <w:r>
        <w:rPr>
          <w:lang w:val="en-GB"/>
        </w:rPr>
        <w:t xml:space="preserve">Council of Ministers of 16 may </w:t>
      </w:r>
      <w:r w:rsidRPr="009630DF">
        <w:rPr>
          <w:lang w:val="en-GB"/>
        </w:rPr>
        <w:t>200</w:t>
      </w:r>
      <w:r>
        <w:rPr>
          <w:lang w:val="en-GB"/>
        </w:rPr>
        <w:t xml:space="preserve">3, Council Decision (EC) of 19 December 2002, </w:t>
      </w:r>
      <w:r w:rsidRPr="009630DF">
        <w:rPr>
          <w:lang w:val="en-GB"/>
        </w:rPr>
        <w:t>D</w:t>
      </w:r>
      <w:r>
        <w:rPr>
          <w:lang w:val="en-GB"/>
        </w:rPr>
        <w:t>e</w:t>
      </w:r>
      <w:r w:rsidRPr="009630DF">
        <w:rPr>
          <w:lang w:val="en-GB"/>
        </w:rPr>
        <w:t xml:space="preserve">cision </w:t>
      </w:r>
      <w:r>
        <w:rPr>
          <w:lang w:val="en-GB"/>
        </w:rPr>
        <w:t>No</w:t>
      </w:r>
      <w:r w:rsidRPr="009630DF">
        <w:rPr>
          <w:lang w:val="en-GB"/>
        </w:rPr>
        <w:t xml:space="preserve"> 1/200</w:t>
      </w:r>
      <w:r>
        <w:rPr>
          <w:lang w:val="en-GB"/>
        </w:rPr>
        <w:t>4</w:t>
      </w:r>
      <w:r w:rsidRPr="009630DF">
        <w:rPr>
          <w:lang w:val="en-GB"/>
        </w:rPr>
        <w:t xml:space="preserve"> </w:t>
      </w:r>
      <w:r>
        <w:rPr>
          <w:lang w:val="en-GB"/>
        </w:rPr>
        <w:t>of the ACP-EC</w:t>
      </w:r>
      <w:r w:rsidRPr="0043363B">
        <w:rPr>
          <w:lang w:val="en-GB"/>
        </w:rPr>
        <w:t xml:space="preserve"> </w:t>
      </w:r>
      <w:r>
        <w:rPr>
          <w:lang w:val="en-GB"/>
        </w:rPr>
        <w:t xml:space="preserve">Council of Ministers of 6 may </w:t>
      </w:r>
      <w:r w:rsidRPr="009630DF">
        <w:rPr>
          <w:lang w:val="en-GB"/>
        </w:rPr>
        <w:t>200</w:t>
      </w:r>
      <w:r>
        <w:rPr>
          <w:lang w:val="en-GB"/>
        </w:rPr>
        <w:t>4, Decision No 2/2004 of the ACP-EC customs cooperation committee of 30 June 2004 and</w:t>
      </w:r>
      <w:r w:rsidRPr="00F26332">
        <w:rPr>
          <w:lang w:val="en-GB"/>
        </w:rPr>
        <w:t xml:space="preserve"> </w:t>
      </w:r>
      <w:r>
        <w:rPr>
          <w:lang w:val="en-GB"/>
        </w:rPr>
        <w:t>De</w:t>
      </w:r>
      <w:r w:rsidRPr="009630DF">
        <w:rPr>
          <w:lang w:val="en-GB"/>
        </w:rPr>
        <w:t xml:space="preserve">cision </w:t>
      </w:r>
      <w:r>
        <w:rPr>
          <w:lang w:val="en-GB"/>
        </w:rPr>
        <w:t>No</w:t>
      </w:r>
      <w:r w:rsidRPr="009630DF">
        <w:rPr>
          <w:lang w:val="en-GB"/>
        </w:rPr>
        <w:t xml:space="preserve"> </w:t>
      </w:r>
      <w:r>
        <w:rPr>
          <w:lang w:val="en-GB"/>
        </w:rPr>
        <w:t>4</w:t>
      </w:r>
      <w:r w:rsidRPr="009630DF">
        <w:rPr>
          <w:lang w:val="en-GB"/>
        </w:rPr>
        <w:t>/200</w:t>
      </w:r>
      <w:r>
        <w:rPr>
          <w:lang w:val="en-GB"/>
        </w:rPr>
        <w:t>5</w:t>
      </w:r>
      <w:r w:rsidRPr="009630DF">
        <w:rPr>
          <w:lang w:val="en-GB"/>
        </w:rPr>
        <w:t xml:space="preserve"> </w:t>
      </w:r>
      <w:r>
        <w:rPr>
          <w:lang w:val="en-GB"/>
        </w:rPr>
        <w:t>of the ACP-EC customs cooperation committee of 13</w:t>
      </w:r>
      <w:r w:rsidR="006B23B4">
        <w:rPr>
          <w:lang w:val="en-GB"/>
        </w:rPr>
        <w:t> </w:t>
      </w:r>
      <w:r>
        <w:rPr>
          <w:lang w:val="en-GB"/>
        </w:rPr>
        <w:t>April</w:t>
      </w:r>
      <w:r w:rsidR="006B23B4">
        <w:rPr>
          <w:lang w:val="en-GB"/>
        </w:rPr>
        <w:t> </w:t>
      </w:r>
      <w:r>
        <w:rPr>
          <w:lang w:val="en-GB"/>
        </w:rPr>
        <w:t>2005</w:t>
      </w:r>
      <w:r w:rsidRPr="009630DF">
        <w:rPr>
          <w:lang w:val="en-GB"/>
        </w:rPr>
        <w:t>).</w:t>
      </w:r>
      <w:r>
        <w:rPr>
          <w:lang w:val="en-GB"/>
        </w:rPr>
        <w:t xml:space="preserve"> </w:t>
      </w:r>
    </w:p>
  </w:footnote>
  <w:footnote w:id="28">
    <w:p w:rsidR="007D7744" w:rsidRDefault="007D7744" w:rsidP="00445C79">
      <w:pPr>
        <w:pStyle w:val="FootnoteText"/>
        <w:ind w:left="0" w:firstLine="0"/>
        <w:jc w:val="both"/>
        <w:rPr>
          <w:lang w:val="en-GB"/>
        </w:rPr>
      </w:pPr>
      <w:r>
        <w:rPr>
          <w:vertAlign w:val="superscript"/>
          <w:lang w:val="en-GB"/>
        </w:rPr>
        <w:footnoteRef/>
      </w:r>
      <w:r w:rsidR="00445C79">
        <w:rPr>
          <w:lang w:val="en-GB"/>
        </w:rPr>
        <w:t xml:space="preserve"> </w:t>
      </w:r>
      <w:r w:rsidRPr="007A49BE">
        <w:rPr>
          <w:lang w:val="en-GB"/>
        </w:rPr>
        <w:t xml:space="preserve">Natural </w:t>
      </w:r>
      <w:r w:rsidRPr="0013126E">
        <w:rPr>
          <w:lang w:val="en-GB"/>
        </w:rPr>
        <w:t xml:space="preserve">and legal South-African persons are eligible to participate in contracts financed by the </w:t>
      </w:r>
      <w:r w:rsidR="008576B6" w:rsidRPr="0013126E">
        <w:rPr>
          <w:lang w:val="en-GB"/>
        </w:rPr>
        <w:t xml:space="preserve">10th </w:t>
      </w:r>
      <w:r w:rsidRPr="0013126E">
        <w:rPr>
          <w:lang w:val="en-GB"/>
        </w:rPr>
        <w:t xml:space="preserve">EDF. However, the </w:t>
      </w:r>
      <w:r w:rsidR="008576B6" w:rsidRPr="0013126E">
        <w:rPr>
          <w:lang w:val="en-GB"/>
        </w:rPr>
        <w:t xml:space="preserve">10th </w:t>
      </w:r>
      <w:r w:rsidRPr="0013126E">
        <w:rPr>
          <w:lang w:val="en-GB"/>
        </w:rPr>
        <w:t>EDF does not finance</w:t>
      </w:r>
      <w:r w:rsidRPr="00721E02">
        <w:rPr>
          <w:lang w:val="en-GB"/>
        </w:rPr>
        <w:t xml:space="preserve"> contracts in </w:t>
      </w:r>
      <w:smartTag w:uri="urn:schemas-microsoft-com:office:smarttags" w:element="country-region">
        <w:smartTag w:uri="urn:schemas-microsoft-com:office:smarttags" w:element="place">
          <w:r w:rsidRPr="00721E02">
            <w:rPr>
              <w:lang w:val="en-GB"/>
            </w:rPr>
            <w:t>South Africa</w:t>
          </w:r>
        </w:smartTag>
      </w:smartTag>
      <w:r w:rsidRPr="00721E02">
        <w:rPr>
          <w:lang w:val="en-GB"/>
        </w:rPr>
        <w:t>.</w:t>
      </w:r>
      <w:r>
        <w:rPr>
          <w:lang w:val="en-GB"/>
        </w:rPr>
        <w:t xml:space="preserve"> </w:t>
      </w:r>
    </w:p>
  </w:footnote>
  <w:footnote w:id="29">
    <w:p w:rsidR="00C133DC" w:rsidRPr="004A0C9F" w:rsidRDefault="00C133DC" w:rsidP="00445C79">
      <w:pPr>
        <w:pStyle w:val="FootnoteText"/>
        <w:ind w:left="0" w:firstLine="0"/>
        <w:rPr>
          <w:lang w:val="en-GB"/>
        </w:rPr>
      </w:pPr>
      <w:r>
        <w:rPr>
          <w:rStyle w:val="FootnoteReference"/>
        </w:rPr>
        <w:footnoteRef/>
      </w:r>
      <w:r w:rsidRPr="004A0C9F">
        <w:rPr>
          <w:lang w:val="en-GB"/>
        </w:rPr>
        <w:t xml:space="preserve"> The term </w:t>
      </w:r>
      <w:r w:rsidR="00445C79">
        <w:rPr>
          <w:lang w:val="en-GB"/>
        </w:rPr>
        <w:t>‘</w:t>
      </w:r>
      <w:r w:rsidRPr="004A0C9F">
        <w:rPr>
          <w:lang w:val="en-GB"/>
        </w:rPr>
        <w:t>European Union Member States</w:t>
      </w:r>
      <w:r w:rsidR="00445C79">
        <w:rPr>
          <w:lang w:val="en-GB"/>
        </w:rPr>
        <w:t>’</w:t>
      </w:r>
      <w:r>
        <w:rPr>
          <w:lang w:val="en-GB"/>
        </w:rPr>
        <w:t>"</w:t>
      </w:r>
      <w:r w:rsidRPr="004A0C9F">
        <w:rPr>
          <w:lang w:val="en-GB"/>
        </w:rPr>
        <w:t xml:space="preserve"> </w:t>
      </w:r>
      <w:r w:rsidRPr="0013126E">
        <w:rPr>
          <w:lang w:val="en-GB"/>
        </w:rPr>
        <w:t xml:space="preserve">refers to </w:t>
      </w:r>
      <w:r w:rsidR="008044FA" w:rsidRPr="0013126E">
        <w:rPr>
          <w:lang w:val="en-GB"/>
        </w:rPr>
        <w:t xml:space="preserve">all </w:t>
      </w:r>
      <w:r w:rsidR="00A90EEC" w:rsidRPr="0013126E">
        <w:rPr>
          <w:lang w:val="en-GB"/>
        </w:rPr>
        <w:t xml:space="preserve">27 </w:t>
      </w:r>
      <w:r w:rsidR="0013126E">
        <w:rPr>
          <w:lang w:val="en-GB"/>
        </w:rPr>
        <w:t>Member States</w:t>
      </w:r>
      <w:r w:rsidRPr="0013126E">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F0F" w:rsidRDefault="00247F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6D3" w:rsidRPr="00653F8A" w:rsidRDefault="00653F8A" w:rsidP="00653F8A">
    <w:pPr>
      <w:tabs>
        <w:tab w:val="right" w:pos="9214"/>
      </w:tabs>
      <w:rPr>
        <w:lang w:val="fr-BE"/>
      </w:rPr>
    </w:pPr>
    <w:r>
      <w:rPr>
        <w:lang w:val="fr-BE"/>
      </w:rPr>
      <w:tab/>
    </w:r>
    <w:r w:rsidR="001F65B3">
      <w:rPr>
        <w:rFonts w:ascii="Arial" w:hAnsi="Arial" w:cs="Arial"/>
        <w:sz w:val="20"/>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8pt;height:16.5pt">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744" w:rsidRPr="0080353B" w:rsidRDefault="007D7744" w:rsidP="0080353B">
    <w:pPr>
      <w:pStyle w:val="Annexetitle"/>
      <w:pBdr>
        <w:top w:val="none" w:sz="0" w:space="0" w:color="auto"/>
        <w:left w:val="none" w:sz="0" w:space="0" w:color="auto"/>
        <w:bottom w:val="none" w:sz="0" w:space="0" w:color="auto"/>
        <w:right w:val="none" w:sz="0" w:space="0" w:color="auto"/>
      </w:pBdr>
      <w:jc w:val="lef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abstractNum w:abstractNumId="0" w15:restartNumberingAfterBreak="0">
    <w:nsid w:val="096F1BD9"/>
    <w:multiLevelType w:val="singleLevel"/>
    <w:tmpl w:val="325686BE"/>
    <w:lvl w:ilvl="0">
      <w:start w:val="1"/>
      <w:numFmt w:val="bullet"/>
      <w:lvlRestart w:val="0"/>
      <w:pStyle w:val="Tiret1"/>
      <w:lvlText w:val="–"/>
      <w:lvlJc w:val="left"/>
      <w:pPr>
        <w:tabs>
          <w:tab w:val="num" w:pos="1417"/>
        </w:tabs>
        <w:ind w:left="1417" w:hanging="567"/>
      </w:pPr>
    </w:lvl>
  </w:abstractNum>
  <w:abstractNum w:abstractNumId="1" w15:restartNumberingAfterBreak="0">
    <w:nsid w:val="09D606B5"/>
    <w:multiLevelType w:val="multilevel"/>
    <w:tmpl w:val="9AECCB04"/>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04E34AF"/>
    <w:multiLevelType w:val="hybridMultilevel"/>
    <w:tmpl w:val="1F9E7A74"/>
    <w:lvl w:ilvl="0" w:tplc="B9CE91DC">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BB6750"/>
    <w:multiLevelType w:val="multilevel"/>
    <w:tmpl w:val="48AAFC8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15:restartNumberingAfterBreak="0">
    <w:nsid w:val="21B01123"/>
    <w:multiLevelType w:val="hybridMultilevel"/>
    <w:tmpl w:val="490CE9B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B5E4D"/>
    <w:multiLevelType w:val="hybridMultilevel"/>
    <w:tmpl w:val="4C98F27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6E32E6"/>
    <w:multiLevelType w:val="multilevel"/>
    <w:tmpl w:val="584E2032"/>
    <w:lvl w:ilvl="0">
      <w:start w:val="1"/>
      <w:numFmt w:val="decimal"/>
      <w:lvlText w:val="%1.a"/>
      <w:lvlJc w:val="left"/>
      <w:pPr>
        <w:tabs>
          <w:tab w:val="num" w:pos="502"/>
        </w:tabs>
        <w:ind w:left="502" w:hanging="360"/>
      </w:pPr>
      <w:rPr>
        <w:rFonts w:hint="default"/>
      </w:rPr>
    </w:lvl>
    <w:lvl w:ilvl="1">
      <w:start w:val="1"/>
      <w:numFmt w:val="lowerLetter"/>
      <w:lvlText w:val="%1.%2."/>
      <w:lvlJc w:val="left"/>
      <w:pPr>
        <w:tabs>
          <w:tab w:val="num" w:pos="934"/>
        </w:tabs>
        <w:ind w:left="934" w:hanging="432"/>
      </w:pPr>
      <w:rPr>
        <w:rFonts w:hint="default"/>
      </w:rPr>
    </w:lvl>
    <w:lvl w:ilvl="2">
      <w:start w:val="1"/>
      <w:numFmt w:val="decimal"/>
      <w:lvlText w:val="%1.%2.%3."/>
      <w:lvlJc w:val="left"/>
      <w:pPr>
        <w:tabs>
          <w:tab w:val="num" w:pos="1582"/>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7" w15:restartNumberingAfterBreak="0">
    <w:nsid w:val="295F6858"/>
    <w:multiLevelType w:val="singleLevel"/>
    <w:tmpl w:val="5FC8DE82"/>
    <w:name w:val="List Bullet 1"/>
    <w:lvl w:ilvl="0">
      <w:start w:val="1"/>
      <w:numFmt w:val="bullet"/>
      <w:lvlRestart w:val="0"/>
      <w:pStyle w:val="Tiret4"/>
      <w:lvlText w:val="–"/>
      <w:lvlJc w:val="left"/>
      <w:pPr>
        <w:tabs>
          <w:tab w:val="num" w:pos="3118"/>
        </w:tabs>
        <w:ind w:left="3118" w:hanging="567"/>
      </w:pPr>
    </w:lvl>
  </w:abstractNum>
  <w:abstractNum w:abstractNumId="8" w15:restartNumberingAfterBreak="0">
    <w:nsid w:val="2F1506FC"/>
    <w:multiLevelType w:val="multilevel"/>
    <w:tmpl w:val="A6CC64D0"/>
    <w:lvl w:ilvl="0">
      <w:start w:val="2"/>
      <w:numFmt w:val="decimal"/>
      <w:lvlText w:val="%1."/>
      <w:lvlJc w:val="left"/>
      <w:pPr>
        <w:tabs>
          <w:tab w:val="num" w:pos="2138"/>
        </w:tabs>
        <w:ind w:left="2138"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3CB24D6"/>
    <w:multiLevelType w:val="multilevel"/>
    <w:tmpl w:val="DA0A304E"/>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8752886"/>
    <w:multiLevelType w:val="hybridMultilevel"/>
    <w:tmpl w:val="48AAFC84"/>
    <w:lvl w:ilvl="0" w:tplc="0809000F">
      <w:start w:val="1"/>
      <w:numFmt w:val="decimal"/>
      <w:lvlText w:val="%1."/>
      <w:lvlJc w:val="left"/>
      <w:pPr>
        <w:tabs>
          <w:tab w:val="num" w:pos="1429"/>
        </w:tabs>
        <w:ind w:left="1429" w:hanging="360"/>
      </w:pPr>
    </w:lvl>
    <w:lvl w:ilvl="1" w:tplc="08090017">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1" w15:restartNumberingAfterBreak="0">
    <w:nsid w:val="4147747E"/>
    <w:multiLevelType w:val="hybridMultilevel"/>
    <w:tmpl w:val="67549B28"/>
    <w:lvl w:ilvl="0" w:tplc="7656380C">
      <w:start w:val="1"/>
      <w:numFmt w:val="decimal"/>
      <w:lvlText w:val="%1."/>
      <w:lvlJc w:val="left"/>
      <w:pPr>
        <w:tabs>
          <w:tab w:val="num" w:pos="2858"/>
        </w:tabs>
        <w:ind w:left="2858" w:hanging="360"/>
      </w:pPr>
      <w:rPr>
        <w:rFonts w:hint="default"/>
      </w:rPr>
    </w:lvl>
    <w:lvl w:ilvl="1" w:tplc="7656380C">
      <w:start w:val="1"/>
      <w:numFmt w:val="decimal"/>
      <w:lvlText w:val="%2."/>
      <w:lvlJc w:val="left"/>
      <w:pPr>
        <w:tabs>
          <w:tab w:val="num" w:pos="1440"/>
        </w:tabs>
        <w:ind w:left="1440" w:hanging="360"/>
      </w:pPr>
      <w:rPr>
        <w:rFonts w:hint="default"/>
      </w:rPr>
    </w:lvl>
    <w:lvl w:ilvl="2" w:tplc="067C1EDC">
      <w:start w:val="1"/>
      <w:numFmt w:val="lowerLetter"/>
      <w:lvlText w:val="%3)"/>
      <w:lvlJc w:val="left"/>
      <w:pPr>
        <w:tabs>
          <w:tab w:val="num" w:pos="2204"/>
        </w:tabs>
        <w:ind w:left="2204"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13F1F8B"/>
    <w:multiLevelType w:val="multilevel"/>
    <w:tmpl w:val="1F0C6386"/>
    <w:lvl w:ilvl="0">
      <w:start w:val="1"/>
      <w:numFmt w:val="decimal"/>
      <w:lvlText w:val="%1."/>
      <w:lvlJc w:val="left"/>
      <w:pPr>
        <w:tabs>
          <w:tab w:val="num" w:pos="1429"/>
        </w:tabs>
        <w:ind w:left="1429"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63E211D8"/>
    <w:multiLevelType w:val="hybridMultilevel"/>
    <w:tmpl w:val="5F6E600C"/>
    <w:lvl w:ilvl="0" w:tplc="4B5A4BFE">
      <w:start w:val="2"/>
      <w:numFmt w:val="decimal"/>
      <w:lvlText w:val="%1."/>
      <w:lvlJc w:val="left"/>
      <w:pPr>
        <w:tabs>
          <w:tab w:val="num" w:pos="2138"/>
        </w:tabs>
        <w:ind w:left="2138" w:hanging="360"/>
      </w:pPr>
      <w:rPr>
        <w:rFonts w:hint="default"/>
      </w:rPr>
    </w:lvl>
    <w:lvl w:ilvl="1" w:tplc="091CBFEC">
      <w:start w:val="3"/>
      <w:numFmt w:val="decimal"/>
      <w:lvlText w:val="%2."/>
      <w:lvlJc w:val="left"/>
      <w:pPr>
        <w:tabs>
          <w:tab w:val="num" w:pos="2138"/>
        </w:tabs>
        <w:ind w:left="2138"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A772D4B"/>
    <w:multiLevelType w:val="multilevel"/>
    <w:tmpl w:val="B0902A98"/>
    <w:lvl w:ilvl="0">
      <w:start w:val="1"/>
      <w:numFmt w:val="decimal"/>
      <w:lvlText w:val="%1."/>
      <w:lvlJc w:val="left"/>
      <w:pPr>
        <w:tabs>
          <w:tab w:val="num" w:pos="2858"/>
        </w:tabs>
        <w:ind w:left="285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A9A5AA6"/>
    <w:multiLevelType w:val="multilevel"/>
    <w:tmpl w:val="C652CE68"/>
    <w:lvl w:ilvl="0">
      <w:start w:val="1"/>
      <w:numFmt w:val="decimal"/>
      <w:lvlText w:val="%1."/>
      <w:lvlJc w:val="left"/>
      <w:pPr>
        <w:tabs>
          <w:tab w:val="num" w:pos="2858"/>
        </w:tabs>
        <w:ind w:left="2858"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3FA7FEC"/>
    <w:multiLevelType w:val="hybridMultilevel"/>
    <w:tmpl w:val="4D3E94A4"/>
    <w:lvl w:ilvl="0" w:tplc="0686A9DC">
      <w:start w:val="1"/>
      <w:numFmt w:val="bullet"/>
      <w:lvlText w:val="–"/>
      <w:lvlJc w:val="left"/>
      <w:pPr>
        <w:tabs>
          <w:tab w:val="num" w:pos="720"/>
        </w:tabs>
        <w:ind w:left="720" w:hanging="360"/>
      </w:pPr>
      <w:rPr>
        <w:rFonts w:ascii="Lucida Console" w:hAnsi="Lucida Console"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260EB"/>
    <w:multiLevelType w:val="multilevel"/>
    <w:tmpl w:val="BECC3D76"/>
    <w:lvl w:ilvl="0">
      <w:start w:val="2"/>
      <w:numFmt w:val="decimal"/>
      <w:lvlText w:val="%1."/>
      <w:lvlJc w:val="left"/>
      <w:pPr>
        <w:tabs>
          <w:tab w:val="num" w:pos="2138"/>
        </w:tabs>
        <w:ind w:left="2138" w:hanging="360"/>
      </w:pPr>
      <w:rPr>
        <w:rFont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2"/>
  </w:num>
  <w:num w:numId="3">
    <w:abstractNumId w:val="0"/>
  </w:num>
  <w:num w:numId="4">
    <w:abstractNumId w:val="7"/>
  </w:num>
  <w:num w:numId="5">
    <w:abstractNumId w:val="5"/>
  </w:num>
  <w:num w:numId="6">
    <w:abstractNumId w:val="4"/>
  </w:num>
  <w:num w:numId="7">
    <w:abstractNumId w:val="17"/>
  </w:num>
  <w:num w:numId="8">
    <w:abstractNumId w:val="10"/>
  </w:num>
  <w:num w:numId="9">
    <w:abstractNumId w:val="3"/>
  </w:num>
  <w:num w:numId="10">
    <w:abstractNumId w:val="6"/>
  </w:num>
  <w:num w:numId="11">
    <w:abstractNumId w:val="1"/>
  </w:num>
  <w:num w:numId="12">
    <w:abstractNumId w:val="12"/>
  </w:num>
  <w:num w:numId="13">
    <w:abstractNumId w:val="9"/>
  </w:num>
  <w:num w:numId="14">
    <w:abstractNumId w:val="14"/>
  </w:num>
  <w:num w:numId="15">
    <w:abstractNumId w:val="18"/>
  </w:num>
  <w:num w:numId="16">
    <w:abstractNumId w:val="8"/>
  </w:num>
  <w:num w:numId="17">
    <w:abstractNumId w:val="11"/>
  </w:num>
  <w:num w:numId="18">
    <w:abstractNumId w:val="15"/>
  </w:num>
  <w:num w:numId="1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8" w:dllVersion="513" w:checkStyle="1"/>
  <w:activeWritingStyle w:appName="MSWord" w:lang="fr-FR" w:vendorID="9" w:dllVersion="512" w:checkStyle="1"/>
  <w:activeWritingStyle w:appName="MSWord" w:lang="en-GB" w:vendorID="8" w:dllVersion="513" w:checkStyle="1"/>
  <w:activeWritingStyle w:appName="MSWord" w:lang="fi-FI" w:vendorID="666" w:dllVersion="513" w:checkStyle="1"/>
  <w:activeWritingStyle w:appName="MSWord" w:lang="pl-PL" w:vendorID="12" w:dllVersion="512" w:checkStyle="1"/>
  <w:activeWritingStyle w:appName="MSWord" w:lang="sv-SE" w:vendorID="666"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A00ED"/>
    <w:rsid w:val="000049C8"/>
    <w:rsid w:val="000235E9"/>
    <w:rsid w:val="0003088C"/>
    <w:rsid w:val="000360C1"/>
    <w:rsid w:val="00036961"/>
    <w:rsid w:val="00045AAA"/>
    <w:rsid w:val="000474B8"/>
    <w:rsid w:val="00060E9B"/>
    <w:rsid w:val="00073BA8"/>
    <w:rsid w:val="0008459D"/>
    <w:rsid w:val="00093EFE"/>
    <w:rsid w:val="000959DB"/>
    <w:rsid w:val="000975B4"/>
    <w:rsid w:val="000A54DC"/>
    <w:rsid w:val="000A7195"/>
    <w:rsid w:val="000B6821"/>
    <w:rsid w:val="000D10AF"/>
    <w:rsid w:val="000D3FEE"/>
    <w:rsid w:val="000D58AE"/>
    <w:rsid w:val="000D667C"/>
    <w:rsid w:val="000D7AAD"/>
    <w:rsid w:val="000F384E"/>
    <w:rsid w:val="000F5FCE"/>
    <w:rsid w:val="00104D0F"/>
    <w:rsid w:val="0011090D"/>
    <w:rsid w:val="0012042E"/>
    <w:rsid w:val="001224B3"/>
    <w:rsid w:val="0012545F"/>
    <w:rsid w:val="00125B70"/>
    <w:rsid w:val="0013126E"/>
    <w:rsid w:val="001318BC"/>
    <w:rsid w:val="001411E7"/>
    <w:rsid w:val="001624B7"/>
    <w:rsid w:val="00170474"/>
    <w:rsid w:val="00170571"/>
    <w:rsid w:val="00171C26"/>
    <w:rsid w:val="00175676"/>
    <w:rsid w:val="00181DAB"/>
    <w:rsid w:val="0018560E"/>
    <w:rsid w:val="00193BA5"/>
    <w:rsid w:val="0019610E"/>
    <w:rsid w:val="001B263C"/>
    <w:rsid w:val="001B76CE"/>
    <w:rsid w:val="001C0BF7"/>
    <w:rsid w:val="001D10BE"/>
    <w:rsid w:val="001E3329"/>
    <w:rsid w:val="001E4CA2"/>
    <w:rsid w:val="001F65B3"/>
    <w:rsid w:val="00203750"/>
    <w:rsid w:val="00213F8C"/>
    <w:rsid w:val="00221539"/>
    <w:rsid w:val="00223AF4"/>
    <w:rsid w:val="002249D2"/>
    <w:rsid w:val="0023452E"/>
    <w:rsid w:val="0024736A"/>
    <w:rsid w:val="00247F0F"/>
    <w:rsid w:val="00253F22"/>
    <w:rsid w:val="00262450"/>
    <w:rsid w:val="00264FF7"/>
    <w:rsid w:val="002745DB"/>
    <w:rsid w:val="002756FE"/>
    <w:rsid w:val="00294804"/>
    <w:rsid w:val="00297BA8"/>
    <w:rsid w:val="002A1C6F"/>
    <w:rsid w:val="002A4611"/>
    <w:rsid w:val="002B274D"/>
    <w:rsid w:val="002B5DAB"/>
    <w:rsid w:val="002C65F5"/>
    <w:rsid w:val="002F66B8"/>
    <w:rsid w:val="00300BA1"/>
    <w:rsid w:val="00301863"/>
    <w:rsid w:val="00306BF8"/>
    <w:rsid w:val="0031151B"/>
    <w:rsid w:val="00316738"/>
    <w:rsid w:val="003241A0"/>
    <w:rsid w:val="00331ABB"/>
    <w:rsid w:val="00342111"/>
    <w:rsid w:val="00345A3E"/>
    <w:rsid w:val="003548A3"/>
    <w:rsid w:val="003735CB"/>
    <w:rsid w:val="00376B7E"/>
    <w:rsid w:val="00380459"/>
    <w:rsid w:val="003804FC"/>
    <w:rsid w:val="00383CF5"/>
    <w:rsid w:val="00386937"/>
    <w:rsid w:val="003C666D"/>
    <w:rsid w:val="003D1425"/>
    <w:rsid w:val="003D7A6A"/>
    <w:rsid w:val="003E454A"/>
    <w:rsid w:val="003E614A"/>
    <w:rsid w:val="003E7520"/>
    <w:rsid w:val="003F5588"/>
    <w:rsid w:val="00410008"/>
    <w:rsid w:val="0041175F"/>
    <w:rsid w:val="00416320"/>
    <w:rsid w:val="0043363B"/>
    <w:rsid w:val="0043758C"/>
    <w:rsid w:val="00445C79"/>
    <w:rsid w:val="00447331"/>
    <w:rsid w:val="0045027C"/>
    <w:rsid w:val="00463427"/>
    <w:rsid w:val="00472EDE"/>
    <w:rsid w:val="00475D6B"/>
    <w:rsid w:val="00481783"/>
    <w:rsid w:val="00495F90"/>
    <w:rsid w:val="004A4446"/>
    <w:rsid w:val="004B3D96"/>
    <w:rsid w:val="004C3C4F"/>
    <w:rsid w:val="004D3D55"/>
    <w:rsid w:val="004D6D09"/>
    <w:rsid w:val="004E7E57"/>
    <w:rsid w:val="00500F0C"/>
    <w:rsid w:val="00517B53"/>
    <w:rsid w:val="0052107F"/>
    <w:rsid w:val="00525474"/>
    <w:rsid w:val="00544CDC"/>
    <w:rsid w:val="0056619C"/>
    <w:rsid w:val="00597033"/>
    <w:rsid w:val="005A2B81"/>
    <w:rsid w:val="005B1B0E"/>
    <w:rsid w:val="005B319E"/>
    <w:rsid w:val="005B656E"/>
    <w:rsid w:val="005C0991"/>
    <w:rsid w:val="005D25C0"/>
    <w:rsid w:val="005D2C3A"/>
    <w:rsid w:val="00601098"/>
    <w:rsid w:val="0060387F"/>
    <w:rsid w:val="00604FBA"/>
    <w:rsid w:val="00624D4C"/>
    <w:rsid w:val="00631A4D"/>
    <w:rsid w:val="00653F8A"/>
    <w:rsid w:val="00664372"/>
    <w:rsid w:val="006660C7"/>
    <w:rsid w:val="00677F74"/>
    <w:rsid w:val="00696372"/>
    <w:rsid w:val="00696C30"/>
    <w:rsid w:val="006A08F1"/>
    <w:rsid w:val="006B23B4"/>
    <w:rsid w:val="006B4DF0"/>
    <w:rsid w:val="006B5427"/>
    <w:rsid w:val="006B7DA1"/>
    <w:rsid w:val="006D3092"/>
    <w:rsid w:val="006D32F6"/>
    <w:rsid w:val="006D77E9"/>
    <w:rsid w:val="006E2617"/>
    <w:rsid w:val="006E4592"/>
    <w:rsid w:val="006F1C3C"/>
    <w:rsid w:val="0070240A"/>
    <w:rsid w:val="00703E19"/>
    <w:rsid w:val="00711F8E"/>
    <w:rsid w:val="00716545"/>
    <w:rsid w:val="0071654E"/>
    <w:rsid w:val="00721E02"/>
    <w:rsid w:val="00736516"/>
    <w:rsid w:val="007368AC"/>
    <w:rsid w:val="00737F69"/>
    <w:rsid w:val="007443CF"/>
    <w:rsid w:val="00745744"/>
    <w:rsid w:val="00755201"/>
    <w:rsid w:val="00761578"/>
    <w:rsid w:val="00763A71"/>
    <w:rsid w:val="00766A36"/>
    <w:rsid w:val="00776F45"/>
    <w:rsid w:val="007957AC"/>
    <w:rsid w:val="007A02FA"/>
    <w:rsid w:val="007A49BE"/>
    <w:rsid w:val="007A518E"/>
    <w:rsid w:val="007A5964"/>
    <w:rsid w:val="007C33E0"/>
    <w:rsid w:val="007D4C7C"/>
    <w:rsid w:val="007D7744"/>
    <w:rsid w:val="007F0680"/>
    <w:rsid w:val="007F426C"/>
    <w:rsid w:val="007F666C"/>
    <w:rsid w:val="0080353B"/>
    <w:rsid w:val="008044FA"/>
    <w:rsid w:val="00812CB8"/>
    <w:rsid w:val="0081602B"/>
    <w:rsid w:val="00830BA8"/>
    <w:rsid w:val="00833CAB"/>
    <w:rsid w:val="00837438"/>
    <w:rsid w:val="00850BE0"/>
    <w:rsid w:val="00852D9C"/>
    <w:rsid w:val="0085411F"/>
    <w:rsid w:val="008576B6"/>
    <w:rsid w:val="00860034"/>
    <w:rsid w:val="008771BD"/>
    <w:rsid w:val="00880AFC"/>
    <w:rsid w:val="00881C41"/>
    <w:rsid w:val="00895456"/>
    <w:rsid w:val="008A4A1B"/>
    <w:rsid w:val="008A59FF"/>
    <w:rsid w:val="008B14F4"/>
    <w:rsid w:val="008D4934"/>
    <w:rsid w:val="008E0A0C"/>
    <w:rsid w:val="008E328D"/>
    <w:rsid w:val="008E4A7E"/>
    <w:rsid w:val="008F2E33"/>
    <w:rsid w:val="00941BCA"/>
    <w:rsid w:val="00947151"/>
    <w:rsid w:val="009630DF"/>
    <w:rsid w:val="0096354C"/>
    <w:rsid w:val="009654D8"/>
    <w:rsid w:val="00976287"/>
    <w:rsid w:val="00977858"/>
    <w:rsid w:val="009B472B"/>
    <w:rsid w:val="009C49B2"/>
    <w:rsid w:val="009D29D9"/>
    <w:rsid w:val="009E2775"/>
    <w:rsid w:val="00A0349C"/>
    <w:rsid w:val="00A06B26"/>
    <w:rsid w:val="00A10080"/>
    <w:rsid w:val="00A153B5"/>
    <w:rsid w:val="00A233B9"/>
    <w:rsid w:val="00A256C4"/>
    <w:rsid w:val="00A3312B"/>
    <w:rsid w:val="00A41845"/>
    <w:rsid w:val="00A606FA"/>
    <w:rsid w:val="00A61D36"/>
    <w:rsid w:val="00A646B5"/>
    <w:rsid w:val="00A744F3"/>
    <w:rsid w:val="00A75F5C"/>
    <w:rsid w:val="00A81646"/>
    <w:rsid w:val="00A90EEC"/>
    <w:rsid w:val="00A96BA3"/>
    <w:rsid w:val="00AA42A2"/>
    <w:rsid w:val="00AA4C84"/>
    <w:rsid w:val="00AD1FF5"/>
    <w:rsid w:val="00AE056D"/>
    <w:rsid w:val="00AE64A2"/>
    <w:rsid w:val="00B20247"/>
    <w:rsid w:val="00B3417D"/>
    <w:rsid w:val="00B36B07"/>
    <w:rsid w:val="00B40E55"/>
    <w:rsid w:val="00B5767F"/>
    <w:rsid w:val="00B636C9"/>
    <w:rsid w:val="00B6463E"/>
    <w:rsid w:val="00B73026"/>
    <w:rsid w:val="00B83AE8"/>
    <w:rsid w:val="00B83DB7"/>
    <w:rsid w:val="00B86E69"/>
    <w:rsid w:val="00BB3423"/>
    <w:rsid w:val="00BD2D17"/>
    <w:rsid w:val="00BE19B5"/>
    <w:rsid w:val="00BE5EE9"/>
    <w:rsid w:val="00BE6844"/>
    <w:rsid w:val="00BE6E94"/>
    <w:rsid w:val="00BF55B3"/>
    <w:rsid w:val="00C105B3"/>
    <w:rsid w:val="00C133DC"/>
    <w:rsid w:val="00C1621D"/>
    <w:rsid w:val="00C2046A"/>
    <w:rsid w:val="00C207ED"/>
    <w:rsid w:val="00C252FD"/>
    <w:rsid w:val="00C275E9"/>
    <w:rsid w:val="00C47BC6"/>
    <w:rsid w:val="00C67BC8"/>
    <w:rsid w:val="00C850B9"/>
    <w:rsid w:val="00C9268F"/>
    <w:rsid w:val="00CA00ED"/>
    <w:rsid w:val="00CB4854"/>
    <w:rsid w:val="00CC1AC5"/>
    <w:rsid w:val="00CD5855"/>
    <w:rsid w:val="00CF04A4"/>
    <w:rsid w:val="00CF23E3"/>
    <w:rsid w:val="00CF351A"/>
    <w:rsid w:val="00CF49BE"/>
    <w:rsid w:val="00D02FE2"/>
    <w:rsid w:val="00D0683E"/>
    <w:rsid w:val="00D2393D"/>
    <w:rsid w:val="00D267E9"/>
    <w:rsid w:val="00D41E44"/>
    <w:rsid w:val="00D41EA9"/>
    <w:rsid w:val="00D4236F"/>
    <w:rsid w:val="00D64D51"/>
    <w:rsid w:val="00D66393"/>
    <w:rsid w:val="00D72495"/>
    <w:rsid w:val="00D91B46"/>
    <w:rsid w:val="00D97F73"/>
    <w:rsid w:val="00DA2156"/>
    <w:rsid w:val="00DB1241"/>
    <w:rsid w:val="00DB2154"/>
    <w:rsid w:val="00DB3575"/>
    <w:rsid w:val="00DB4F9E"/>
    <w:rsid w:val="00DC66B1"/>
    <w:rsid w:val="00DD39EA"/>
    <w:rsid w:val="00DE0424"/>
    <w:rsid w:val="00E173E3"/>
    <w:rsid w:val="00E32783"/>
    <w:rsid w:val="00E34736"/>
    <w:rsid w:val="00E410E1"/>
    <w:rsid w:val="00E57EAB"/>
    <w:rsid w:val="00E60C2F"/>
    <w:rsid w:val="00E73A92"/>
    <w:rsid w:val="00E77608"/>
    <w:rsid w:val="00E83CD6"/>
    <w:rsid w:val="00E87562"/>
    <w:rsid w:val="00E91576"/>
    <w:rsid w:val="00EA26D3"/>
    <w:rsid w:val="00EB4D83"/>
    <w:rsid w:val="00EC4732"/>
    <w:rsid w:val="00EC59F5"/>
    <w:rsid w:val="00EC63C2"/>
    <w:rsid w:val="00ED145F"/>
    <w:rsid w:val="00ED444D"/>
    <w:rsid w:val="00EF0D59"/>
    <w:rsid w:val="00EF3301"/>
    <w:rsid w:val="00F00FA5"/>
    <w:rsid w:val="00F02E7F"/>
    <w:rsid w:val="00F124AD"/>
    <w:rsid w:val="00F228FD"/>
    <w:rsid w:val="00F2631E"/>
    <w:rsid w:val="00F26332"/>
    <w:rsid w:val="00F277B2"/>
    <w:rsid w:val="00F27AA6"/>
    <w:rsid w:val="00F3489B"/>
    <w:rsid w:val="00F47956"/>
    <w:rsid w:val="00F637B8"/>
    <w:rsid w:val="00F63ADC"/>
    <w:rsid w:val="00F70DCD"/>
    <w:rsid w:val="00F91629"/>
    <w:rsid w:val="00FB52B1"/>
    <w:rsid w:val="00FB77FF"/>
    <w:rsid w:val="00FC0A0F"/>
    <w:rsid w:val="00FC7970"/>
    <w:rsid w:val="00FD2962"/>
    <w:rsid w:val="00FE7B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50DA6383"/>
  <w15:chartTrackingRefBased/>
  <w15:docId w15:val="{5DA3AA52-C67B-45E3-B811-1AEDC872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4F3"/>
    <w:rPr>
      <w:sz w:val="24"/>
      <w:lang w:val="fr-FR"/>
    </w:rPr>
  </w:style>
  <w:style w:type="paragraph" w:styleId="Heading1">
    <w:name w:val="heading 1"/>
    <w:basedOn w:val="Normal"/>
    <w:next w:val="Normal"/>
    <w:qFormat/>
    <w:pPr>
      <w:keepNext/>
      <w:keepLines/>
      <w:pageBreakBefore/>
      <w:tabs>
        <w:tab w:val="left" w:pos="2552"/>
      </w:tabs>
      <w:spacing w:before="240" w:after="240"/>
      <w:jc w:val="center"/>
      <w:outlineLvl w:val="0"/>
    </w:pPr>
    <w:rPr>
      <w:rFonts w:ascii="Optima" w:hAnsi="Optima"/>
      <w:b/>
      <w:caps/>
      <w:snapToGrid w:val="0"/>
      <w:sz w:val="32"/>
      <w:lang w:val="en-GB" w:eastAsia="en-US"/>
    </w:rPr>
  </w:style>
  <w:style w:type="paragraph" w:styleId="Heading2">
    <w:name w:val="heading 2"/>
    <w:basedOn w:val="Heading1"/>
    <w:next w:val="Normal"/>
    <w:qFormat/>
    <w:pPr>
      <w:pageBreakBefore w:val="0"/>
      <w:numPr>
        <w:ilvl w:val="1"/>
        <w:numId w:val="1"/>
      </w:numPr>
      <w:spacing w:before="480" w:after="120"/>
      <w:outlineLvl w:val="1"/>
    </w:pPr>
    <w:rPr>
      <w:snapToGrid/>
      <w:sz w:val="28"/>
    </w:rPr>
  </w:style>
  <w:style w:type="paragraph" w:styleId="Heading3">
    <w:name w:val="heading 3"/>
    <w:basedOn w:val="Heading1"/>
    <w:next w:val="Normal"/>
    <w:qFormat/>
    <w:pPr>
      <w:pageBreakBefore w:val="0"/>
      <w:numPr>
        <w:ilvl w:val="2"/>
        <w:numId w:val="1"/>
      </w:numPr>
      <w:tabs>
        <w:tab w:val="clear" w:pos="2421"/>
        <w:tab w:val="clear" w:pos="2552"/>
      </w:tabs>
      <w:spacing w:before="360"/>
      <w:ind w:left="2410" w:hanging="709"/>
      <w:outlineLvl w:val="2"/>
    </w:pPr>
    <w:rPr>
      <w:sz w:val="24"/>
      <w:lang w:val="en-US"/>
    </w:rPr>
  </w:style>
  <w:style w:type="paragraph" w:styleId="Heading4">
    <w:name w:val="heading 4"/>
    <w:basedOn w:val="Heading1"/>
    <w:next w:val="Normal"/>
    <w:qFormat/>
    <w:pPr>
      <w:pageBreakBefore w:val="0"/>
      <w:numPr>
        <w:ilvl w:val="3"/>
        <w:numId w:val="1"/>
      </w:numPr>
      <w:tabs>
        <w:tab w:val="clear" w:pos="864"/>
      </w:tabs>
      <w:spacing w:after="0"/>
      <w:ind w:left="1701" w:firstLine="0"/>
      <w:outlineLvl w:val="3"/>
    </w:pPr>
    <w:rPr>
      <w:snapToGrid/>
      <w:sz w:val="22"/>
    </w:rPr>
  </w:style>
  <w:style w:type="paragraph" w:styleId="Heading5">
    <w:name w:val="heading 5"/>
    <w:basedOn w:val="Heading2"/>
    <w:next w:val="Normal"/>
    <w:qFormat/>
    <w:pPr>
      <w:numPr>
        <w:ilvl w:val="4"/>
      </w:numPr>
      <w:tabs>
        <w:tab w:val="clear" w:pos="1008"/>
        <w:tab w:val="num" w:pos="360"/>
      </w:tabs>
      <w:spacing w:before="240"/>
      <w:outlineLvl w:val="4"/>
    </w:pPr>
    <w:rPr>
      <w:sz w:val="22"/>
      <w:u w:val="single"/>
    </w:rPr>
  </w:style>
  <w:style w:type="paragraph" w:styleId="Heading6">
    <w:name w:val="heading 6"/>
    <w:basedOn w:val="Heading5"/>
    <w:next w:val="NormalIndent"/>
    <w:qFormat/>
    <w:pPr>
      <w:numPr>
        <w:ilvl w:val="5"/>
      </w:numPr>
      <w:tabs>
        <w:tab w:val="clear" w:pos="1152"/>
        <w:tab w:val="num" w:pos="360"/>
      </w:tabs>
      <w:outlineLvl w:val="5"/>
    </w:pPr>
  </w:style>
  <w:style w:type="paragraph" w:styleId="Heading7">
    <w:name w:val="heading 7"/>
    <w:basedOn w:val="Heading6"/>
    <w:next w:val="NormalIndent"/>
    <w:qFormat/>
    <w:pPr>
      <w:numPr>
        <w:ilvl w:val="6"/>
      </w:numPr>
      <w:tabs>
        <w:tab w:val="clear" w:pos="1296"/>
        <w:tab w:val="num" w:pos="360"/>
      </w:tabs>
      <w:outlineLvl w:val="6"/>
    </w:pPr>
  </w:style>
  <w:style w:type="paragraph" w:styleId="Heading8">
    <w:name w:val="heading 8"/>
    <w:basedOn w:val="Heading7"/>
    <w:next w:val="NormalIndent"/>
    <w:qFormat/>
    <w:pPr>
      <w:numPr>
        <w:ilvl w:val="7"/>
      </w:numPr>
      <w:tabs>
        <w:tab w:val="clear" w:pos="1440"/>
        <w:tab w:val="num" w:pos="360"/>
      </w:tabs>
      <w:outlineLvl w:val="7"/>
    </w:pPr>
  </w:style>
  <w:style w:type="paragraph" w:styleId="Heading9">
    <w:name w:val="heading 9"/>
    <w:basedOn w:val="Heading8"/>
    <w:next w:val="NormalIndent"/>
    <w:qFormat/>
    <w:pPr>
      <w:numPr>
        <w:ilvl w:val="8"/>
      </w:numPr>
      <w:tabs>
        <w:tab w:val="clear" w:pos="1584"/>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before="240"/>
      <w:ind w:left="1701"/>
      <w:jc w:val="both"/>
    </w:pPr>
    <w:rPr>
      <w:rFonts w:ascii="Optima" w:hAnsi="Optima"/>
      <w:sz w:val="22"/>
      <w:lang w:val="en-GB"/>
    </w:rPr>
  </w:style>
  <w:style w:type="paragraph" w:customStyle="1" w:styleId="Annexetitle">
    <w:name w:val="Annexe_title"/>
    <w:basedOn w:val="Heading1"/>
    <w:next w:val="Normal"/>
    <w:autoRedefine/>
    <w:rsid w:val="004E7E57"/>
    <w:pPr>
      <w:keepNext w:val="0"/>
      <w:keepLines w:val="0"/>
      <w:pBdr>
        <w:top w:val="single" w:sz="18" w:space="15" w:color="808080" w:shadow="1"/>
        <w:left w:val="single" w:sz="18" w:space="4" w:color="808080" w:shadow="1"/>
        <w:bottom w:val="single" w:sz="18" w:space="15" w:color="808080" w:shadow="1"/>
        <w:right w:val="single" w:sz="18" w:space="4" w:color="808080" w:shadow="1"/>
      </w:pBdr>
      <w:tabs>
        <w:tab w:val="left" w:pos="1701"/>
      </w:tabs>
      <w:outlineLvl w:val="9"/>
    </w:pPr>
    <w:rPr>
      <w:rFonts w:ascii="Times New Roman" w:hAnsi="Times New Roman"/>
      <w:noProof/>
      <w:sz w:val="28"/>
      <w:szCs w:val="28"/>
      <w:shd w:val="clear" w:color="auto" w:fill="FFFFFF"/>
    </w:rPr>
  </w:style>
  <w:style w:type="paragraph" w:styleId="FootnoteText">
    <w:name w:val="footnote text"/>
    <w:basedOn w:val="Normal"/>
    <w:semiHidden/>
    <w:pPr>
      <w:ind w:left="720" w:hanging="720"/>
    </w:pPr>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rPr>
      <w:vertAlign w:val="superscript"/>
    </w:rPr>
  </w:style>
  <w:style w:type="paragraph" w:styleId="Header">
    <w:name w:val="header"/>
    <w:basedOn w:val="Normal"/>
    <w:next w:val="Normal"/>
    <w:pPr>
      <w:tabs>
        <w:tab w:val="center" w:pos="4320"/>
        <w:tab w:val="right" w:pos="7080"/>
        <w:tab w:val="right" w:pos="8640"/>
      </w:tabs>
      <w:spacing w:before="60" w:after="60"/>
    </w:pPr>
    <w:rPr>
      <w:rFonts w:ascii="Optima" w:hAnsi="Optima"/>
      <w:b/>
      <w:snapToGrid w:val="0"/>
      <w:sz w:val="32"/>
      <w:lang w:val="en-GB" w:eastAsia="en-US"/>
    </w:rPr>
  </w:style>
  <w:style w:type="character" w:styleId="PageNumber">
    <w:name w:val="page number"/>
    <w:basedOn w:val="DefaultParagraphFont"/>
  </w:style>
  <w:style w:type="paragraph" w:styleId="Footer">
    <w:name w:val="footer"/>
    <w:basedOn w:val="Normal"/>
    <w:next w:val="Normal"/>
    <w:pPr>
      <w:pBdr>
        <w:top w:val="single" w:sz="6" w:space="5" w:color="auto"/>
      </w:pBdr>
      <w:tabs>
        <w:tab w:val="center" w:pos="4111"/>
        <w:tab w:val="right" w:pos="8760"/>
      </w:tabs>
    </w:pPr>
    <w:rPr>
      <w:rFonts w:ascii="Optima" w:hAnsi="Optima"/>
      <w:b/>
      <w:snapToGrid w:val="0"/>
      <w:sz w:val="18"/>
      <w:lang w:val="en-GB" w:eastAsia="en-US"/>
    </w:rPr>
  </w:style>
  <w:style w:type="numbering" w:customStyle="1" w:styleId="NoList1">
    <w:name w:val="No List1"/>
    <w:next w:val="NoList"/>
    <w:semiHidden/>
    <w:rsid w:val="00495F90"/>
  </w:style>
  <w:style w:type="paragraph" w:customStyle="1" w:styleId="NormalWeb8">
    <w:name w:val="Normal (Web)8"/>
    <w:basedOn w:val="Normal"/>
    <w:rsid w:val="00495F90"/>
    <w:pPr>
      <w:spacing w:before="75" w:after="75"/>
      <w:ind w:left="225" w:right="225"/>
    </w:pPr>
    <w:rPr>
      <w:sz w:val="22"/>
      <w:szCs w:val="22"/>
      <w:lang w:val="en-GB"/>
    </w:rPr>
  </w:style>
  <w:style w:type="character" w:styleId="Strong">
    <w:name w:val="Strong"/>
    <w:qFormat/>
    <w:rsid w:val="00495F90"/>
    <w:rPr>
      <w:b/>
      <w:bCs/>
    </w:rPr>
  </w:style>
  <w:style w:type="paragraph" w:customStyle="1" w:styleId="Text1">
    <w:name w:val="Text 1"/>
    <w:basedOn w:val="Normal"/>
    <w:rsid w:val="008B14F4"/>
    <w:pPr>
      <w:spacing w:before="120" w:after="120" w:line="360" w:lineRule="auto"/>
      <w:ind w:left="850"/>
    </w:pPr>
    <w:rPr>
      <w:lang w:val="en-GB" w:eastAsia="fr-BE"/>
    </w:rPr>
  </w:style>
  <w:style w:type="paragraph" w:customStyle="1" w:styleId="Point1">
    <w:name w:val="Point 1"/>
    <w:basedOn w:val="Normal"/>
    <w:rsid w:val="008B14F4"/>
    <w:pPr>
      <w:spacing w:before="120" w:after="120" w:line="360" w:lineRule="auto"/>
      <w:ind w:left="1417" w:hanging="567"/>
    </w:pPr>
    <w:rPr>
      <w:lang w:val="en-GB" w:eastAsia="fr-BE"/>
    </w:rPr>
  </w:style>
  <w:style w:type="paragraph" w:customStyle="1" w:styleId="Point2">
    <w:name w:val="Point 2"/>
    <w:basedOn w:val="Normal"/>
    <w:rsid w:val="008B14F4"/>
    <w:pPr>
      <w:spacing w:before="120" w:after="120" w:line="360" w:lineRule="auto"/>
      <w:ind w:left="1984" w:hanging="567"/>
    </w:pPr>
    <w:rPr>
      <w:lang w:val="en-GB" w:eastAsia="fr-BE"/>
    </w:rPr>
  </w:style>
  <w:style w:type="paragraph" w:customStyle="1" w:styleId="Point3">
    <w:name w:val="Point 3"/>
    <w:basedOn w:val="Normal"/>
    <w:rsid w:val="008B14F4"/>
    <w:pPr>
      <w:spacing w:before="120" w:after="120" w:line="360" w:lineRule="auto"/>
      <w:ind w:left="2551" w:hanging="567"/>
    </w:pPr>
    <w:rPr>
      <w:lang w:val="en-GB" w:eastAsia="fr-BE"/>
    </w:rPr>
  </w:style>
  <w:style w:type="paragraph" w:customStyle="1" w:styleId="Point4">
    <w:name w:val="Point 4"/>
    <w:basedOn w:val="Normal"/>
    <w:rsid w:val="008B14F4"/>
    <w:pPr>
      <w:spacing w:before="120" w:after="120" w:line="360" w:lineRule="auto"/>
      <w:ind w:left="3118" w:hanging="567"/>
    </w:pPr>
    <w:rPr>
      <w:lang w:val="en-GB" w:eastAsia="fr-BE"/>
    </w:rPr>
  </w:style>
  <w:style w:type="paragraph" w:customStyle="1" w:styleId="Tiret1">
    <w:name w:val="Tiret 1"/>
    <w:basedOn w:val="Point1"/>
    <w:rsid w:val="008B14F4"/>
    <w:pPr>
      <w:numPr>
        <w:numId w:val="3"/>
      </w:numPr>
    </w:pPr>
  </w:style>
  <w:style w:type="paragraph" w:customStyle="1" w:styleId="Tiret4">
    <w:name w:val="Tiret 4"/>
    <w:basedOn w:val="Point4"/>
    <w:rsid w:val="008B14F4"/>
    <w:pPr>
      <w:numPr>
        <w:numId w:val="4"/>
      </w:numPr>
    </w:pPr>
  </w:style>
  <w:style w:type="paragraph" w:customStyle="1" w:styleId="ManualNumPar1">
    <w:name w:val="Manual NumPar 1"/>
    <w:basedOn w:val="Normal"/>
    <w:next w:val="Text1"/>
    <w:rsid w:val="008B14F4"/>
    <w:pPr>
      <w:spacing w:before="120" w:after="120" w:line="360" w:lineRule="auto"/>
      <w:ind w:left="850" w:hanging="850"/>
    </w:pPr>
    <w:rPr>
      <w:lang w:val="en-GB" w:eastAsia="fr-BE"/>
    </w:rPr>
  </w:style>
  <w:style w:type="paragraph" w:customStyle="1" w:styleId="Annexetitreacte">
    <w:name w:val="Annexe titre (acte)"/>
    <w:basedOn w:val="Normal"/>
    <w:next w:val="Normal"/>
    <w:rsid w:val="007D7744"/>
    <w:pPr>
      <w:spacing w:before="120" w:after="120" w:line="360" w:lineRule="auto"/>
      <w:jc w:val="center"/>
    </w:pPr>
    <w:rPr>
      <w:b/>
      <w:u w:val="single"/>
      <w:lang w:val="en-GB" w:eastAsia="fr-BE"/>
    </w:rPr>
  </w:style>
  <w:style w:type="character" w:styleId="Emphasis">
    <w:name w:val="Emphasis"/>
    <w:qFormat/>
    <w:rsid w:val="00203750"/>
    <w:rPr>
      <w:i/>
      <w:iCs/>
    </w:rPr>
  </w:style>
  <w:style w:type="paragraph" w:styleId="BalloonText">
    <w:name w:val="Balloon Text"/>
    <w:basedOn w:val="Normal"/>
    <w:semiHidden/>
    <w:rsid w:val="00C1621D"/>
    <w:rPr>
      <w:rFonts w:ascii="Tahoma" w:hAnsi="Tahoma" w:cs="Tahoma"/>
      <w:sz w:val="16"/>
      <w:szCs w:val="16"/>
    </w:rPr>
  </w:style>
  <w:style w:type="paragraph" w:styleId="DocumentMap">
    <w:name w:val="Document Map"/>
    <w:basedOn w:val="Normal"/>
    <w:semiHidden/>
    <w:rsid w:val="00BD2D17"/>
    <w:pPr>
      <w:shd w:val="clear" w:color="auto" w:fill="000080"/>
    </w:pPr>
    <w:rPr>
      <w:rFonts w:ascii="Tahoma" w:hAnsi="Tahoma" w:cs="Tahoma"/>
      <w:sz w:val="20"/>
    </w:rPr>
  </w:style>
  <w:style w:type="character" w:styleId="CommentReference">
    <w:name w:val="annotation reference"/>
    <w:rsid w:val="00EF0D59"/>
    <w:rPr>
      <w:sz w:val="16"/>
      <w:szCs w:val="16"/>
    </w:rPr>
  </w:style>
  <w:style w:type="paragraph" w:styleId="CommentText">
    <w:name w:val="annotation text"/>
    <w:basedOn w:val="Normal"/>
    <w:link w:val="CommentTextChar"/>
    <w:rsid w:val="00EF0D59"/>
    <w:rPr>
      <w:sz w:val="20"/>
    </w:rPr>
  </w:style>
  <w:style w:type="character" w:customStyle="1" w:styleId="CommentTextChar">
    <w:name w:val="Comment Text Char"/>
    <w:link w:val="CommentText"/>
    <w:rsid w:val="00EF0D59"/>
    <w:rPr>
      <w:lang w:val="fr-FR"/>
    </w:rPr>
  </w:style>
  <w:style w:type="paragraph" w:styleId="CommentSubject">
    <w:name w:val="annotation subject"/>
    <w:basedOn w:val="CommentText"/>
    <w:next w:val="CommentText"/>
    <w:link w:val="CommentSubjectChar"/>
    <w:rsid w:val="00EF0D59"/>
    <w:rPr>
      <w:b/>
      <w:bCs/>
    </w:rPr>
  </w:style>
  <w:style w:type="character" w:customStyle="1" w:styleId="CommentSubjectChar">
    <w:name w:val="Comment Subject Char"/>
    <w:link w:val="CommentSubject"/>
    <w:rsid w:val="00EF0D59"/>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CA2403-312F-412A-B230-C6E4FEDF01A4}"/>
</file>

<file path=customXml/itemProps2.xml><?xml version="1.0" encoding="utf-8"?>
<ds:datastoreItem xmlns:ds="http://schemas.openxmlformats.org/officeDocument/2006/customXml" ds:itemID="{8858FE6A-128F-4E19-90CA-57ED345C3736}"/>
</file>

<file path=customXml/itemProps3.xml><?xml version="1.0" encoding="utf-8"?>
<ds:datastoreItem xmlns:ds="http://schemas.openxmlformats.org/officeDocument/2006/customXml" ds:itemID="{F9EE0742-9740-4D0F-A535-4724A4B9DABD}"/>
</file>

<file path=docProps/app.xml><?xml version="1.0" encoding="utf-8"?>
<Properties xmlns="http://schemas.openxmlformats.org/officeDocument/2006/extended-properties" xmlns:vt="http://schemas.openxmlformats.org/officeDocument/2006/docPropsVTypes">
  <Template>Normal</Template>
  <TotalTime>4</TotalTime>
  <Pages>12</Pages>
  <Words>2702</Words>
  <Characters>15109</Characters>
  <Application>Microsoft Office Word</Application>
  <DocSecurity>0</DocSecurity>
  <Lines>265</Lines>
  <Paragraphs>105</Paragraphs>
  <ScaleCrop>false</ScaleCrop>
  <HeadingPairs>
    <vt:vector size="2" baseType="variant">
      <vt:variant>
        <vt:lpstr>Title</vt:lpstr>
      </vt:variant>
      <vt:variant>
        <vt:i4>1</vt:i4>
      </vt:variant>
    </vt:vector>
  </HeadingPairs>
  <TitlesOfParts>
    <vt:vector size="1" baseType="lpstr">
      <vt:lpstr>Aide extérieure de la CE, par pays:</vt:lpstr>
    </vt:vector>
  </TitlesOfParts>
  <Company>European Commission</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Aide extérieure de la CE, par pays:</dc:title>
  <dc:subject/>
  <dc:creator>dussade</dc:creator>
  <cp:keywords/>
  <cp:lastModifiedBy>OTERO VEGA Yolanda (DEVCO)</cp:lastModifiedBy>
  <cp:revision>6</cp:revision>
  <cp:lastPrinted>2008-05-16T13:52:00Z</cp:lastPrinted>
  <dcterms:created xsi:type="dcterms:W3CDTF">2018-12-18T10:55:00Z</dcterms:created>
  <dcterms:modified xsi:type="dcterms:W3CDTF">2022-05-17T08:23:00Z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